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861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penalties and interest resulting from the final determination of an ad valorem tax appeal that changes a property owner's tax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42.42(c)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the final determination of an appeal occurs after the property owner has paid a portion of the tax finally determined to be due as required by Section 42.08,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penalties and interest on the tax included in the supplemental bill calculated as provided by Section 33.01 as if the tax included in the supplemental bill became delinquent on the original delinquency date prescribed by Chapter 31.</w:t>
      </w:r>
    </w:p>
    <w:p w:rsidR="003F3435" w:rsidRDefault="0032493E">
      <w:pPr>
        <w:spacing w:line="480" w:lineRule="auto"/>
        <w:ind w:firstLine="720"/>
        <w:jc w:val="both"/>
      </w:pPr>
      <w:r>
        <w:t xml:space="preserve">(d)</w:t>
      </w:r>
      <w:r xml:space="preserve">
        <w:t> </w:t>
      </w:r>
      <w:r xml:space="preserve">
        <w:t> </w:t>
      </w:r>
      <w:r>
        <w:t xml:space="preserve">If the property owner did not pay any portion of the taxes imposed on the property because the court found that payment would constitute an unreasonable restraint on the owner's right of access to the courts as provided by Section 42.08(d), after the final determination of the appeal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interest on the tax included in the supplemental bill calculated as provided by Section 33.01 as if the tax included in the supplemental bill became delinquent on the delinquency date prescribed by Chapter 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appeal under Chapter 42, Tax Code, that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