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86R26440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Anchia, Turner of Dallas,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864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Turner of Tarrant, Meyer,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pipeline incidents; clarifying changes to related administrative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121.206(a) and (d), Utilities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may assess an administrative penalty against a person who violates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railroad commission by rule shall adopt guidelines to be used in determining the amount of a penalty under this subchapter. The guidelines shall include a penalty calculation worksheet that specifies the typical penalty for certain violations, circumstances justifying enhancement of a penalty and the amount of the enhancement, and circumstances justifying a reduction in a penalty and the amount of the reduction. The guidelines shall take into account: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person's history of previous violations of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], including the number of previous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seriousness of the violation and of any pollution resulting from the violation;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hazard to the health or safety of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degree of culpability;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demonstrated good faith of the person charged;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factor the commission considers relevant.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121, Utilities Code, is amended by adding Section 121.214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121.214.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PIPELINE INCIDENT REPORTING AND RECORDS.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"Distribution gas pipeline facility" means a pipeline facility that distributes natural gas directly to end use customers.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"Pipeline incident" means an event involving a release of gas from a pipeline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federal regulations, gives rise to a duty of a distribution gas pipeline facility operator to report the event to a federal agency;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results in one or more of the following consequences: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death or a personal injury necessitating in-patient hospitalization;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estimated property damage greater than or equal to the greater of: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$50,000, including loss to the operator, loss to others, or both, but excluding cost of gas lost; or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amount under federal regulations that gives rise to the duty of a distribution gas pipeline facility operator to report the event to a federal agency;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unintentional estimated gas loss of three million cubic feet or more.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record" has the meaning assigned by Section 441.180,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railroad commission by rule shall require a distribution gas pipeline facility operator, after a pipeline incident involving the operator's pipelines,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commission of the incident before the expiration of one hour following the operator's discovery of the incident;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following information to the commission: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pipeline operator's name and telephone number;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incident;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time of the incident;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fatalities and personal injuries caused by the incident;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telephone number of the operator's on-site person;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gas lost;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estimated property damage to the operator and others;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significant facts relevant to the incident, including facts related to ignition, explosion, rerouting of traffic, evacuation of a building, and media interest;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information required under federal regulations to be provided to the Pipeline and Hazardous Materials Safety Administration or a successor agency after a pipeline incident or similar incident.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railroad commission shall retain state records of the railroad commission regarding a pipeline incident perpetually.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Railroad Commission of Texas shall adopt the rules required by Section 121.214, Utilities Code, as added by this Act,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