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86R2567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pipeline incident reporting requirements for gas pipeline operators; clarifying changes to related administrative penalties.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121.206(a) and (d), Utilities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railroad commission may assess an administrative penalty against a person who violates Section 121.201 or a safety standard or other rule prescribed or adopted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that section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railroad commission by rule shall adopt guidelines to be used in determining the amount of a penalty under this subchapter. The guidelines shall include a penalty calculation worksheet that specifies the typical penalty for certain violations, circumstances justifying enhancement of a penalty and the amount of the enhancement, and circumstances justifying a reduction in a penalty and the amount of the reduction. The guidelines shall take into account: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person's history of previous violations of Section 121.201 or a safety standard or other rule prescribed or adopted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that section</w:t>
      </w:r>
      <w:r>
        <w:t xml:space="preserve">], including the number of previous violations;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seriousness of the violation and of any pollution resulting from the violation;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hazard to the health or safety of the public;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degree of culpability;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demonstrated good faith of the person charged;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any other factor the commission considers relevant.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121, Utilities Code, is amended by adding Section 121.215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121.215.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PIPELINE INCIDENT REPORTING.  (a)  In this section, "pipeline incident" means an event involving a release of gas from a pipeline that results in one or more of the following consequences: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death or a personal injury necessitating in-patient hospitalization;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estimated property damage of $50,000 or more, including loss to the operator, loss to others, or both, but excluding cost of gas lost;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unintentional estimated gas loss of three million cubic feet or more.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railroad commission by rule shall require a distribution gas pipeline facility operator to provide the following information to the commission after a pipeline incident: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pipeline operator's name and telephone number;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location of the incident;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time of the incident;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fatalities and personal injuries caused by the incident;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telephone number of the operator's on-site person;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cost of gas lost;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estimated property damage to the operator and others;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significant facts relevant to the incident, including facts related to ignition, explosion, rerouting of traffic, evacuation of a building, and media interest.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Railroad Commission of Texas shall adopt the rules required by Section 121.215, Utilities Code, as added by this Act, not later than December 31,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