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Anchia, Turner of Tarrant,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Turner of Dallas, González of Dallas,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Meyer, et al.</w:t>
      </w:r>
    </w:p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installation, removal, and replacement of certain gas pipelines;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</w:t>
      </w:r>
      <w:r>
        <w:t xml:space="preserve"> </w:t>
      </w:r>
      <w:r>
        <w:t xml:space="preserve">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</w:t>
      </w:r>
      <w:r>
        <w:t xml:space="preserve"> </w:t>
      </w:r>
      <w:r>
        <w:t xml:space="preserve">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INSTALLATION, REMOVAL, AND REPLACEMENT OF CERTAIN PIPELINES.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"distribution gas pipeline facility" means a pipeline facility that distributes natural gas directly to end-use customers.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distribution gas pipeline facility operator may not install as part of the operator's underground system a cast iron, wrought iron, or bare steel pipeline.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the operator of a distribution gas pipeline facility system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implement a risk-based program for the removal or replacement of underground distribution gas pipeline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remove or replace at least eight percent of underground distribution gas pipeline facilities posing the greatest risk in the system and identified for replacement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distribution gas pipeline facility operator shall replace any known cast iron pipelines installed as part of the operator's underground system not later than December 31, 2021.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(d) and this subsection expire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any rules necessary to implement the changes in law made by this Act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