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866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replacement of certain gas pipelines with plastic pipelines; clarifying changes to related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121.206(a) and (d),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railroad commission may assess an administrative penalty against a person who violates Section 121.201 or a safety standard or other rule prescribed or adopted under </w:t>
      </w:r>
      <w:r>
        <w:rPr>
          <w:u w:val="single"/>
        </w:rPr>
        <w:t xml:space="preserve">this subchapter</w:t>
      </w:r>
      <w:r>
        <w:t xml:space="preserve"> [</w:t>
      </w:r>
      <w:r>
        <w:rPr>
          <w:strike/>
        </w:rPr>
        <w:t xml:space="preserve">that section</w:t>
      </w:r>
      <w:r>
        <w:t xml:space="preserve">].</w:t>
      </w:r>
    </w:p>
    <w:p w:rsidR="003F3435" w:rsidRDefault="0032493E">
      <w:pPr>
        <w:spacing w:line="480" w:lineRule="auto"/>
        <w:ind w:firstLine="720"/>
        <w:jc w:val="both"/>
      </w:pPr>
      <w:r>
        <w:t xml:space="preserve">(d)</w:t>
      </w:r>
      <w:r xml:space="preserve">
        <w:t> </w:t>
      </w:r>
      <w:r xml:space="preserve">
        <w:t> </w:t>
      </w:r>
      <w:r>
        <w:t xml:space="preserve">The railroad commission by rule shall adopt guidelines to be used in determining the amount of a penalty under this subchapter. The guidelines shall include a penalty calculation worksheet that specifies the typical penalty for certain violations, circumstances justifying enhancement of a penalty and the amount of the enhancement, and circumstances justifying a reduction in a penalty and the amount of the reduction. The guidelines shall take into account:</w:t>
      </w:r>
    </w:p>
    <w:p w:rsidR="003F3435" w:rsidRDefault="0032493E">
      <w:pPr>
        <w:spacing w:line="480" w:lineRule="auto"/>
        <w:ind w:firstLine="1440"/>
        <w:jc w:val="both"/>
      </w:pPr>
      <w:r>
        <w:t xml:space="preserve">(1)</w:t>
      </w:r>
      <w:r xml:space="preserve">
        <w:t> </w:t>
      </w:r>
      <w:r xml:space="preserve">
        <w:t> </w:t>
      </w:r>
      <w:r>
        <w:t xml:space="preserve">the person's history of previous violations of Section 121.201 or a safety standard or other rule prescribed or adopted under </w:t>
      </w:r>
      <w:r>
        <w:rPr>
          <w:u w:val="single"/>
        </w:rPr>
        <w:t xml:space="preserve">this subchapter</w:t>
      </w:r>
      <w:r>
        <w:t xml:space="preserve"> [</w:t>
      </w:r>
      <w:r>
        <w:rPr>
          <w:strike/>
        </w:rPr>
        <w:t xml:space="preserve">that section</w:t>
      </w:r>
      <w:r>
        <w:t xml:space="preserve">], including the number of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and of any pollution resulting from the violation;</w:t>
      </w:r>
    </w:p>
    <w:p w:rsidR="003F3435" w:rsidRDefault="0032493E">
      <w:pPr>
        <w:spacing w:line="480" w:lineRule="auto"/>
        <w:ind w:firstLine="1440"/>
        <w:jc w:val="both"/>
      </w:pPr>
      <w:r>
        <w:t xml:space="preserve">(3)</w:t>
      </w:r>
      <w:r xml:space="preserve">
        <w:t> </w:t>
      </w:r>
      <w:r xml:space="preserve">
        <w:t> </w:t>
      </w:r>
      <w:r>
        <w:t xml:space="preserve">any hazard to the health or safety of the public;</w:t>
      </w:r>
    </w:p>
    <w:p w:rsidR="003F3435" w:rsidRDefault="0032493E">
      <w:pPr>
        <w:spacing w:line="480" w:lineRule="auto"/>
        <w:ind w:firstLine="1440"/>
        <w:jc w:val="both"/>
      </w:pPr>
      <w:r>
        <w:t xml:space="preserve">(4)</w:t>
      </w:r>
      <w:r xml:space="preserve">
        <w:t> </w:t>
      </w:r>
      <w:r xml:space="preserve">
        <w:t> </w:t>
      </w:r>
      <w:r>
        <w:t xml:space="preserve">the degree of culpability;</w:t>
      </w:r>
    </w:p>
    <w:p w:rsidR="003F3435" w:rsidRDefault="0032493E">
      <w:pPr>
        <w:spacing w:line="480" w:lineRule="auto"/>
        <w:ind w:firstLine="1440"/>
        <w:jc w:val="both"/>
      </w:pPr>
      <w:r>
        <w:t xml:space="preserve">(5)</w:t>
      </w:r>
      <w:r xml:space="preserve">
        <w:t> </w:t>
      </w:r>
      <w:r xml:space="preserve">
        <w:t> </w:t>
      </w:r>
      <w:r>
        <w:t xml:space="preserve">the demonstrated good faith of the person charged; and</w:t>
      </w:r>
    </w:p>
    <w:p w:rsidR="003F3435" w:rsidRDefault="0032493E">
      <w:pPr>
        <w:spacing w:line="480" w:lineRule="auto"/>
        <w:ind w:firstLine="1440"/>
        <w:jc w:val="both"/>
      </w:pPr>
      <w:r>
        <w:t xml:space="preserve">(6)</w:t>
      </w:r>
      <w:r xml:space="preserve">
        <w:t> </w:t>
      </w:r>
      <w:r xml:space="preserve">
        <w:t> </w:t>
      </w:r>
      <w:r>
        <w:t xml:space="preserve">any other factor the commission considers relevant.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121, Utilities Code, is amended by adding Section 121.213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121.213.</w:t>
      </w:r>
      <w:r>
        <w:rPr>
          <w:u w:val="single"/>
        </w:rPr>
        <w:t xml:space="preserve"> </w:t>
      </w:r>
      <w:r>
        <w:rPr>
          <w:u w:val="single"/>
        </w:rPr>
        <w:t xml:space="preserve"> </w:t>
      </w:r>
      <w:r>
        <w:rPr>
          <w:u w:val="single"/>
        </w:rPr>
        <w:t xml:space="preserve">REQUIRED PIPELINE MATERIALS.  (a) </w:t>
      </w:r>
      <w:r>
        <w:rPr>
          <w:u w:val="single"/>
        </w:rPr>
        <w:t xml:space="preserve"> </w:t>
      </w:r>
      <w:r>
        <w:rPr>
          <w:u w:val="single"/>
        </w:rPr>
        <w:t xml:space="preserve">A distribution gas pipeline facility operator may not install as part of the operator's system a cast iron, wrought iron, or bare steel pipeline.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distribution gas pipeline facility operator shall replace any cast iron, wrought iron, or bare steel pipelines installed as part of the operator's facility with plastic pipelines not later than December 31,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and this subsection expire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