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Anchia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867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written disclosure of gas pipeline leaks to gas distribution customers; clarifying changes to related administrative penalties.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121.206(a) and (d), Utilities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railroad commission may assess an administrative penalty against a person who violates Section 121.201 or a safety standard or other rule prescribed or adopted under </w:t>
      </w:r>
      <w:r>
        <w:rPr>
          <w:u w:val="single"/>
        </w:rPr>
        <w:t xml:space="preserve">this subchapter</w:t>
      </w:r>
      <w:r>
        <w:t xml:space="preserve"> [</w:t>
      </w:r>
      <w:r>
        <w:rPr>
          <w:strike/>
        </w:rPr>
        <w:t xml:space="preserve">that section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railroad commission by rule shall adopt guidelines to be used in determining the amount of a penalty under this subchapter. The guidelines shall include a penalty calculation worksheet that specifies the typical penalty for certain violations, circumstances justifying enhancement of a penalty and the amount of the enhancement, and circumstances justifying a reduction in a penalty and the amount of the reduction. The guidelines shall take into account: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person's history of previous violations of Section 121.201 or a safety standard or other rule prescribed or adopted under </w:t>
      </w:r>
      <w:r>
        <w:rPr>
          <w:u w:val="single"/>
        </w:rPr>
        <w:t xml:space="preserve">this subchapter</w:t>
      </w:r>
      <w:r>
        <w:t xml:space="preserve"> [</w:t>
      </w:r>
      <w:r>
        <w:rPr>
          <w:strike/>
        </w:rPr>
        <w:t xml:space="preserve">that section</w:t>
      </w:r>
      <w:r>
        <w:t xml:space="preserve">], including the number of previous violations;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seriousness of the violation and of any pollution resulting from the violation;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any hazard to the health or safety of the public;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degree of culpability;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the demonstrated good faith of the person charged;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any other factor the commission considers relevant.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121, Utilities Code, is amended by adding Section 121.217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121.217.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WRITTEN NOTICE OF LEAK REQUIRED.  (a) </w:t>
      </w:r>
      <w:r>
        <w:rPr>
          <w:u w:val="single"/>
        </w:rPr>
        <w:t xml:space="preserve"> </w:t>
      </w:r>
      <w:r>
        <w:rPr>
          <w:u w:val="single"/>
        </w:rPr>
        <w:t xml:space="preserve">The railroad commission by rule shall require a distribution gas pipeline facility operator to mail written notice of a leak not later than 72 hours after the leak is discovered to each customer whose billed property is located less than one-quarter mile from where the leak occurred.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written notice must be printed in both English and Spanish.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Railroad Commission of Texas shall adopt the rules required by Section 121.217, Utilities Code, as added by this Act, not later than December 31, 2019.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867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