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86R999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gas pipeline operator disclosure of the location of pipeline leaks; clarifying changes to related administrative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121.206(a) and (d), Utilities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railroad commission may assess an administrative penalty against a person who violates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railroad commission by rule shall adopt guidelines to be used in determining the amount of a penalty under this subchapter. The guidelines shall include a penalty calculation worksheet that specifies the typical penalty for certain violations, circumstances justifying enhancement of a penalty and the amount of the enhancement, and circumstances justifying a reduction in a penalty and the amount of the reduction. The guidelines shall take into account: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person's history of previous violations of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], including the number of previous violations;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seriousness of the violation and of any pollution resulting from the violation;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hazard to the health or safety of the public;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degree of culpability;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demonstrated good faith of the person charged;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any other factor the commission considers relevant.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121, Utilities Code, is amended by adding Section 121.218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121.218.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DISCLOSURE OF LEAK LOCATIONS.  The railroad commission by rule shall require a distribution gas pipeline facility operator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to the commission gas leaks from the operator's pipeline facilities and any other information the commission requires by rule;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on the operator's public Internet website the location of each leak reported under Subdivision (1), including the exact street address and the location of each leak on a map.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Railroad Commission of Texas shall adopt the rules required by Section 121.218, Utilities Code, as added by this Act, not later than December 31,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