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86R1235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 Collier, Moody, Perez, Springer,</w:t>
      </w:r>
      <w:r xml:space="preserve">
        <w:tab wTab="150" tlc="none" cTlc="0"/>
      </w:r>
      <w:r>
        <w:t xml:space="preserve">H.B.</w:t>
      </w:r>
      <w:r xml:space="preserve">
        <w:t> </w:t>
      </w:r>
      <w:r>
        <w:t xml:space="preserve">No.</w:t>
      </w:r>
      <w:r xml:space="preserve">
        <w:t> </w:t>
      </w:r>
      <w:r>
        <w:t xml:space="preserve">869</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organized criminal activity involving the interception, use, or disclosure of certain communications.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children,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r xml:space="preserve">
        <w:t> </w:t>
      </w:r>
      <w:r xml:space="preserve">
        <w:t> </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 [</w:t>
      </w:r>
      <w:r>
        <w:rPr>
          <w:strike/>
        </w:rPr>
        <w:t xml:space="preserve">or</w:t>
      </w:r>
      <w:r>
        <w:t xml:space="preserve">]</w:t>
      </w:r>
    </w:p>
    <w:p w:rsidR="003F3435" w:rsidRDefault="0032493E">
      <w:pPr>
        <w:spacing w:line="480" w:lineRule="auto"/>
        <w:ind w:firstLine="1440"/>
        <w:jc w:val="both"/>
      </w:pPr>
      <w:r>
        <w:t xml:space="preserve">(18)</w:t>
      </w:r>
      <w:r xml:space="preserve">
        <w:t> </w:t>
      </w:r>
      <w:r xml:space="preserve">
        <w:t> </w:t>
      </w:r>
      <w:r>
        <w:rPr>
          <w:u w:val="single"/>
        </w:rPr>
        <w:t xml:space="preserve">any offense under Section 16.02; or</w:t>
      </w:r>
    </w:p>
    <w:p w:rsidR="003F3435" w:rsidRDefault="0032493E">
      <w:pPr>
        <w:spacing w:line="480" w:lineRule="auto"/>
        <w:ind w:firstLine="1440"/>
        <w:jc w:val="both"/>
      </w:pPr>
      <w:r>
        <w:rPr>
          <w:u w:val="single"/>
        </w:rP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