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86R2923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Guillen, Sheffield, Ashby,</w:t>
      </w:r>
      <w:r xml:space="preserve">
        <w:tab wTab="150" tlc="none" cTlc="0"/>
      </w:r>
      <w:r>
        <w:t xml:space="preserve">H.B.</w:t>
      </w:r>
      <w:r xml:space="preserve">
        <w:t> </w:t>
      </w:r>
      <w:r>
        <w:t xml:space="preserve">No.</w:t>
      </w:r>
      <w:r xml:space="preserve">
        <w:t> </w:t>
      </w:r>
      <w:r>
        <w:t xml:space="preserve">871</w:t>
      </w:r>
    </w:p>
    <w:p w:rsidR="003F3435" w:rsidRDefault="0032493E">
      <w:pPr>
        <w:jc w:val="both"/>
      </w:pPr>
      <w:r xml:space="preserve">
        <w:t> </w:t>
      </w:r>
      <w:r xml:space="preserve">
        <w:t> </w:t>
      </w:r>
      <w:r xml:space="preserve">
        <w:t> </w:t>
      </w:r>
      <w:r xml:space="preserve">
        <w:t> </w:t>
      </w:r>
      <w:r xml:space="preserve">
        <w:t> </w:t>
      </w:r>
      <w:r>
        <w:t xml:space="preserve">González of El Paso</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telemedicine medical service by certain trauma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773, Health and Safety Code, is amended by adding Section 773.1151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773.1151.</w:t>
      </w:r>
      <w:r>
        <w:rPr>
          <w:u w:val="single"/>
        </w:rPr>
        <w:t xml:space="preserve"> </w:t>
      </w:r>
      <w:r>
        <w:rPr>
          <w:u w:val="single"/>
        </w:rPr>
        <w:t xml:space="preserve"> </w:t>
      </w:r>
      <w:r>
        <w:rPr>
          <w:u w:val="single"/>
        </w:rPr>
        <w:t xml:space="preserve">USE OF TELEMEDICINE MEDICAL SERVICE BY CERTAIN TRAUMA FACILITIES.  (a)  In this section, "telemedicine medical service" has the meaning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located in a county with a population of less than 30,000 may satisfy a Level IV trauma facility designation requirement relating to physicians through the use of telemedicine medical service in which an on-call physician who has special competence in the care of critically injured patients provides patient assessment, diagnosis, consultation, or treatment or transfers medical data to a physician, advanced practice registered nurse, or physician assistant located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requirements for designating a facility as a Level IV trauma facility, the executive commissioner may not adopt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physical presence or physical availability of a physician who has special competence in the care of critically injured patients;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the use of telemedicine medical service that meets the requirements of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executive commissioner of the Health and Human Services Commission shall adopt rules to implement Section 773.1151, Health and Safety Code, as added by this Act,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773.1151, Health and Safety Code, as added by this Act, a health care facility located in a county with a population of less than 30,000 may use telemedicine medical service to satisfy a Level IV trauma facility designation requirement only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