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871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Health &amp; Human Services;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telemedicine medical service by certain trauma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773, Health and Safety Code, is amended by adding Section 773.1151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773.1151.</w:t>
      </w:r>
      <w:r>
        <w:rPr>
          <w:u w:val="single"/>
        </w:rPr>
        <w:t xml:space="preserve"> </w:t>
      </w:r>
      <w:r>
        <w:rPr>
          <w:u w:val="single"/>
        </w:rPr>
        <w:t xml:space="preserve"> </w:t>
      </w:r>
      <w:r>
        <w:rPr>
          <w:u w:val="single"/>
        </w:rPr>
        <w:t xml:space="preserve">USE OF TELEMEDICINE MEDICAL SERVICE BY CERTAIN TRAUMA FACILITIES.  (a)  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located in a county with a population of less than 30,000 may satisfy a Level IV trauma facility designation requirement relating to physicians through the use of telemedicine medical service in which an on-call physician who has special competence in the care of critically injured patients provides patient assessment, diagnosis, consultation, or treatment or transfers medical data to a physician, advanced practice registered nurse, or physician assistant located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requirements for designating a facility as a Level IV trauma facility, the executive commissioner may not adopt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physical presence or physical availability of a physician who has special competence in the care of critically injured patients;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use of telemedicine medical service that meets the requirements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executive commissioner of the Health and Human Services Commission shall adopt rules to implement Section 773.1151, Health and Safety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773.1151, Health and Safety Code, as added by this Act, a health care facility located in a county with a population of less than 30,000 may use telemedicine medical service to satisfy a Level IV trauma facility designation requirement only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