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86R26140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behavior improvement plans and behavioral intervention plans for certain public school students and notification and documentation requirements regarding certain behavior management techniques.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changes in a student's circumstances,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placement of the student in a different educational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increase or persistence in disciplinary actions taken regarding the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variation in the student's attendance;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variation in the student's behavior, including an unauthorized unsupervised departure from an educational setting;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student or others.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or</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r>
        <w:rPr>
          <w:u w:val="single"/>
        </w:rPr>
        <w:t xml:space="preserve">, including 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or is required under Section 37.004 to conduct a functional behavioral assessment of the student</w:t>
      </w:r>
      <w:r>
        <w:t xml:space="preserve">;</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district employee or volunteer or independent contractor of the district who administered the restraint;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restraint;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that the restraint started and ended;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location of the restraint;</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nature of the restraint;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description of the activity in which the student was engaged immediately preceding the use of the restraint;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behavior of the student that prompted the restraint;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any efforts made to de-escalate the situation and any alternatives to restraint that were attempted;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a functional behavioral assessment of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in a student's special education eligibility school records: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any written notification provided to the student's parent or person standing in parental relation to the student under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contact information for the parent or person who received the notification;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student has a behavior improvement plan or behavioral intervention plan, document each use of time-out prompted by a behavior of the student specified in the student's plan, including a description of the behavior that prompted the time-out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school day after the change in placement: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functional behavioral assessment of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behavior improvement plan or behavioral intervention plan for the student if the student does not have a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has a behavior improvement plan or behavioral intervention plan, revise the student's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