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86R27585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 Wu</w:t>
      </w:r>
      <w:r xml:space="preserve">
        <w:tab wTab="150" tlc="none" cTlc="0"/>
      </w:r>
      <w:r>
        <w:t xml:space="preserve">H.B.</w:t>
      </w:r>
      <w:r xml:space="preserve">
        <w:t> </w:t>
      </w:r>
      <w:r>
        <w:t xml:space="preserve">No.</w:t>
      </w:r>
      <w:r xml:space="preserve">
        <w:t> </w:t>
      </w:r>
      <w:r>
        <w:t xml:space="preserve">875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875:</w:t>
      </w: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C.S.H.B.</w:t>
      </w:r>
      <w:r xml:space="preserve">
        <w:t> </w:t>
      </w:r>
      <w:r>
        <w:t xml:space="preserve">No.</w:t>
      </w:r>
      <w:r xml:space="preserve">
        <w:t> </w:t>
      </w:r>
      <w:r>
        <w:t xml:space="preserve">875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school district or open-enrollment charter school to report data regarding restraints administered to, complaints filed against, citations issued to, and arrests made of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37, Education Code, is amended by adding Section 37.087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37.087.</w:t>
      </w:r>
      <w:r>
        <w:rPr>
          <w:u w:val="single"/>
        </w:rPr>
        <w:t xml:space="preserve"> </w:t>
      </w:r>
      <w:r>
        <w:rPr>
          <w:u w:val="single"/>
        </w:rPr>
        <w:t xml:space="preserve"> </w:t>
      </w:r>
      <w:r>
        <w:rPr>
          <w:u w:val="single"/>
        </w:rPr>
        <w:t xml:space="preserve">REPORT TO AGENCY ON RESTRAINTS, COMPLAINTS, CITATIONS, AND ARRESTS.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"Citation" means a ticket issued to a student for a Class C misdemeanor by a school district peace of</w:t>
      </w:r>
      <w:r>
        <w:rPr>
          <w:u w:val="single"/>
        </w:rPr>
        <w:t xml:space="preserve">ficer or other peace officer acting under a memorandum of understanding described by Subsection (g).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 spray" means any aerosol-propelled debilitation device that is composed of a lachrymatory chemical compound that irritates the eyes to cause tears, pain, or temporary blindness.  The term includes pepper spray, capsicum spray, OC gas, and oleoresin capsicum.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"Restraint" means the use of physical force or a mechanical device to significantly restrict the free movement of all or a portion of a student's body.  The term includes the use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baton or a similar club;</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 spray;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Taser.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"Taser" means a device manufactured, sold, or distributed by Taser International, Incorporated, that is intended, designed, made, or adapted to incapacitate a person by inflicting an electrical charge through the emission of a projectile or conductive stream. The term, for purposes of this section, includes a similar device manufactured, sold, or distributed by another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60th day after the last day of classes for the academic year, the superintendent of a school district shall electronically submit to the agency a report that contains incident-based data describing the total number of the following incidents occurring during the preceding academic year, organized by campus: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restraints administered to a student;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complaints filed against a student under Section 37.145;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citations issued to a student;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arrests made of a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incident-based data submitted under this section must include, as applicable, information identifying: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age of the student;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gender of the student;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race or ethnicity of the student;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student is eligible for special education services under Section 29.003;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student is a student of limited English proficiency, as defined by Section 29.052;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the student is in the conservatorship of the Department of Family and Protective Services;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whether the student is homeless, as defined by 42 U.S.C. Section 11302;</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nature of the offense;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whether the offense occurred during regular school hours;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whether the offense occurred on school property or off school property while the student was attending a school-sponsored or school-related activity;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type of restraint administered to the student;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offense for which a complaint was filed against the student or for which the student was issued a citation or was arrested;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campus at which the student was enrolled at the time of the incident.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data collected for a report required under this section does not constitute prima facie evidence of racial profiling.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report required under this section may not include information that identifies the peace officer who issued a citation. </w:t>
      </w:r>
      <w:r>
        <w:rPr>
          <w:u w:val="single"/>
        </w:rPr>
        <w:t xml:space="preserve"> </w:t>
      </w:r>
      <w:r>
        <w:rPr>
          <w:u w:val="single"/>
        </w:rPr>
        <w:t xml:space="preserve">The identity of the peace officer is confidential and not subject to disclosure under Chapter 552,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report required under this section may not include personally identifiable student information and must comply with the Family Educational Rights and Privacy Act of 1974 (20 U.S.C. Section 1232g).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that enters into a memorandum of understanding with a local law enforcement agency for the provision of a regular police presence on campus shall designate in the memorandum of understanding which entity will be responsible for collecting the data described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shall collect the reports required under this section, compile the data, and make the data available to the public.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the reporting of certain information regarding restraints, complaints, citations, and arrests under Section 37.087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