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86R4977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admission to general academic teaching institutions of students who complete the early college education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U, Chapter 51, Education Code, is amended by adding Section 51.8036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51.8036.</w:t>
      </w:r>
      <w:r>
        <w:rPr>
          <w:u w:val="single"/>
        </w:rPr>
        <w:t xml:space="preserve"> </w:t>
      </w:r>
      <w:r>
        <w:rPr>
          <w:u w:val="single"/>
        </w:rPr>
        <w:t xml:space="preserve"> </w:t>
      </w:r>
      <w:r>
        <w:rPr>
          <w:u w:val="single"/>
        </w:rPr>
        <w:t xml:space="preserve">AUTOMATIC ADMISSION OF APPLICANTS COMPLETING EARLY COLLEGE EDUCATION PROGRAM.  (a)  In this section, "early college education program" means an early college education program established under Section 29.908.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academic teaching institution shall admit an applicant for admission to the institution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graduated from high school in one of the two school years preceding the academic year for which the applicant is applying for admission;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the early college education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submits a completed application for admission before the expiration of any application filing deadline established by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the responsibility of the applicant for admission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expressly and clearly claim in the application entitlement to admission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timely provide to the general academic teaching institution the documentation required by the institution to determine the student's entitlement to admission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51.8036, Education Code, as added by this Act, applies beginning with admissions to a general academic teaching institution for the 2020-2021 academic year.  Admissions to a general academic teaching institution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