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882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 bingo occasion.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2001.103(b),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temporary license is valid for </w:t>
      </w:r>
      <w:r>
        <w:rPr>
          <w:u w:val="single"/>
        </w:rPr>
        <w:t xml:space="preserve">six</w:t>
      </w:r>
      <w:r>
        <w:t xml:space="preserve"> [</w:t>
      </w:r>
      <w:r>
        <w:rPr>
          <w:strike/>
        </w:rPr>
        <w:t xml:space="preserve">four</w:t>
      </w:r>
      <w:r>
        <w:t xml:space="preserve">] hours during any one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2001.419(b),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bingo occasion may not exceed </w:t>
      </w:r>
      <w:r>
        <w:rPr>
          <w:u w:val="single"/>
        </w:rPr>
        <w:t xml:space="preserve">six</w:t>
      </w:r>
      <w:r>
        <w:t xml:space="preserve"> [</w:t>
      </w:r>
      <w:r>
        <w:rPr>
          <w:strike/>
        </w:rPr>
        <w:t xml:space="preserve">four</w:t>
      </w:r>
      <w:r>
        <w:t xml:space="preserve">]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bingo occasion conducted under a license issued under Chapter 2001, Occupations Code, before, on, or after the effective date of this Act.  The holder of an unused temporary license issued before the effective date of this Act may submit to the Texas Lottery Commission, in the manner required by the commission, a license amendment or a notification that provides the specific date and time of the bingo occasion for which the temporary license will be used, and the commission may adopt the rules and procedures necessary to accomplish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