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using the Internet to obtain identifying information about an elderly individual for a fraudulent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325.006, Business &amp; Commerce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court may increase the amount of an award of actual damages in an action brought under this section to an amount not to exceed three times the actual damages sustained if the court finds that the violation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has reoccurred with sufficient frequency to constitute a pattern or practice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adversely affected an elderly individual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"elderly individual" has the meaning assigned by Section 22.04,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883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