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86R7962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using the Internet to obtain identifying information about an elderly individual for a fraudulent purpose.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325.006, Business &amp; Commerce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The court may increase the amount of an award of actual damages in an action brought under this section to an amount not to exceed three times the actual damages sustained if the court finds that the violation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has reoccurred with sufficient frequency to constitute a pattern or practice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adversely affected an elderly individual</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"elderly individual" has the meaning assigned by Section 22.04,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