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883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State Affairs; May</w:t>
      </w:r>
      <w:r xml:space="preserve">
        <w:t> </w:t>
      </w:r>
      <w:r>
        <w:t xml:space="preserve">10,</w:t>
      </w:r>
      <w:r xml:space="preserve">
        <w:t> </w:t>
      </w:r>
      <w:r>
        <w:t xml:space="preserve">2019, reported favorably by the following vote:</w:t>
      </w:r>
      <w:r>
        <w:t xml:space="preserve"> </w:t>
      </w:r>
      <w:r>
        <w:t xml:space="preserve"> </w:t>
      </w:r>
      <w:r>
        <w:t xml:space="preserve">Yeas 9, Nays 0;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using the Internet to obtain identifying information about an elderly individual for a fraudulent purpose.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325.006, Business &amp; Commerce Code, is amended by amending Subsection (c) and adding Subsection (f) to read as follows:</w:t>
      </w:r>
    </w:p>
    <w:p w:rsidR="003F3435" w:rsidRDefault="0032493E">
      <w:pPr>
        <w:spacing w:line="480" w:lineRule="auto"/>
        <w:ind w:firstLine="720"/>
        <w:jc w:val="both"/>
      </w:pPr>
      <w:r>
        <w:t xml:space="preserve">(c)</w:t>
      </w:r>
      <w:r xml:space="preserve">
        <w:t> </w:t>
      </w:r>
      <w:r xml:space="preserve">
        <w:t> </w:t>
      </w:r>
      <w:r>
        <w:t xml:space="preserve">The court may increase the amount of an award of actual damages in an action brought under this section to an amount not to exceed three times the actual damages sustained if the court finds that the violation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has reoccurred with sufficient frequency to constitute a pattern or practice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adversely affected an elderly individual</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"elderly individual" has the meaning assigned by Section 22.04,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