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86R4795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INCREASE IN WAGES; PLAN.  (a)  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 a community rehabilitation program in developing a plan to increase the wages paid to its workers with disabilities to the federal minimum wage not later than September 1, 2021.</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for and obtain any job training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 A community rehabilitation program may not participate in the program administered under this chapter unless each worker with a disability employed by the program is paid at least the federal minimum wage under Section 6, Fair Labor Standards Act of 1938 (29 U.S.C. Section 206).</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122.0076, Human Resources Code, as added by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