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86R4190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889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light-duty motor vehicle purchase or lease incentive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2158.001(3) and (4), Government Code, are amended to read as follows:</w:t>
      </w:r>
    </w:p>
    <w:p w:rsidR="003F3435" w:rsidRDefault="0032493E">
      <w:pPr>
        <w:spacing w:line="480" w:lineRule="auto"/>
        <w:ind w:firstLine="1440"/>
        <w:jc w:val="both"/>
      </w:pPr>
      <w:r>
        <w:t xml:space="preserve">(3)</w:t>
      </w:r>
      <w:r xml:space="preserve">
        <w:t> </w:t>
      </w:r>
      <w:r xml:space="preserve">
        <w:t> </w:t>
      </w:r>
      <w:r>
        <w:t xml:space="preserve">"Light-duty motor vehicle" has the meaning assigned by Section </w:t>
      </w:r>
      <w:r>
        <w:rPr>
          <w:u w:val="single"/>
        </w:rPr>
        <w:t xml:space="preserve">392.001</w:t>
      </w:r>
      <w:r>
        <w:t xml:space="preserve"> [</w:t>
      </w:r>
      <w:r>
        <w:rPr>
          <w:strike/>
        </w:rPr>
        <w:t xml:space="preserve">386.151</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"Motor vehicle" has the meaning assigned by Section </w:t>
      </w:r>
      <w:r>
        <w:rPr>
          <w:u w:val="single"/>
        </w:rPr>
        <w:t xml:space="preserve">392.001</w:t>
      </w:r>
      <w:r>
        <w:t xml:space="preserve"> [</w:t>
      </w:r>
      <w:r>
        <w:rPr>
          <w:strike/>
        </w:rPr>
        <w:t xml:space="preserve">386.151</w:t>
      </w:r>
      <w:r>
        <w:t xml:space="preserve">],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motor vehicle purchase or lease incentive program established under Subchapter 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clean school bus program established under Chapter 390;</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health effects study as provided by Section 386.252(a);</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air quality planning activities as provided by Section 386.252(d);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the </w:t>
      </w:r>
      <w:r>
        <w:rPr>
          <w:u w:val="single"/>
        </w:rPr>
        <w:t xml:space="preserve">Texas</w:t>
      </w:r>
      <w:r>
        <w:t xml:space="preserve"> clean fleet program established under Chapter 392;</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the </w:t>
      </w:r>
      <w:r>
        <w:rPr>
          <w:u w:val="single"/>
        </w:rPr>
        <w:t xml:space="preserve">Texas</w:t>
      </w:r>
      <w:r>
        <w:t xml:space="preserve"> alternative fueling facilities program established under Chapter 393;</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the </w:t>
      </w:r>
      <w:r>
        <w:rPr>
          <w:u w:val="single"/>
        </w:rPr>
        <w:t xml:space="preserve">Texas</w:t>
      </w:r>
      <w:r>
        <w:t xml:space="preserve"> natural gas vehicle grant program established under Chapter 394;</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studies of or pilot programs for incentives for port authorities located in nonattainment areas or affected counties as provided by Section 386.252(a); and</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the governmental alternative fuel fleet grant program established under Chapter 395.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386.252(a)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Money in the fund may be used only to implement and administer programs established under the plan.</w:t>
      </w:r>
      <w:r xml:space="preserve">
        <w:t> </w:t>
      </w:r>
      <w:r xml:space="preserve">
        <w:t> </w:t>
      </w:r>
      <w:r>
        <w:t xml:space="preserve">Subject to the reallocation of funds by the commission under Subsection (h), money appropriated to the commission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w:t>
      </w:r>
      <w:r>
        <w:rPr>
          <w:u w:val="single"/>
        </w:rPr>
        <w:t xml:space="preserve">Texas</w:t>
      </w:r>
      <w:r>
        <w:t xml:space="preserv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$8 million is allocated to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w:t>
      </w:r>
      <w:r>
        <w:rPr>
          <w:strike/>
        </w:rP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w:t>
      </w:r>
      <w:r>
        <w:rPr>
          <w:strike/>
        </w:rPr>
        <w:t xml:space="preserve">(12)</w:t>
      </w:r>
      <w:r>
        <w:t xml:space="preserve">]</w:t>
      </w:r>
      <w:r xml:space="preserve">
        <w:t> </w:t>
      </w:r>
      <w:r xml:space="preserve">
        <w:t> </w:t>
      </w:r>
      <w:r>
        <w:t xml:space="preserve">not more than $216,000 is allocated to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(b)</w:t>
      </w:r>
      <w:r xml:space="preserve">
        <w:t> </w:t>
      </w:r>
      <w:r xml:space="preserve">
        <w:t> </w:t>
      </w:r>
      <w:r>
        <w:t xml:space="preserve">Money in the fund may be used by the commission for programs under Sections </w:t>
      </w:r>
      <w:r>
        <w:rPr>
          <w:u w:val="single"/>
        </w:rPr>
        <w:t xml:space="preserve">386.051(b)(12), (b)(13)</w:t>
      </w:r>
      <w:r>
        <w:t xml:space="preserve"> [</w:t>
      </w:r>
      <w:r>
        <w:rPr>
          <w:strike/>
        </w:rPr>
        <w:t xml:space="preserve">386.051(b)(13), (b)(14)</w:t>
      </w:r>
      <w:r>
        <w:t xml:space="preserve">], and (b-1) as may be appropriated for those programs.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392.001(6) and (7), Health and Safety Code, are amended to read as follows:</w:t>
      </w:r>
    </w:p>
    <w:p w:rsidR="003F3435" w:rsidRDefault="0032493E">
      <w:pPr>
        <w:spacing w:line="480" w:lineRule="auto"/>
        <w:ind w:firstLine="1440"/>
        <w:jc w:val="both"/>
      </w:pPr>
      <w:r>
        <w:t xml:space="preserve">(6)</w:t>
      </w:r>
      <w:r xml:space="preserve">
        <w:t> </w:t>
      </w:r>
      <w:r xml:space="preserve">
        <w:t> </w:t>
      </w:r>
      <w:r>
        <w:t xml:space="preserve">"Light-duty motor vehicle" </w:t>
      </w:r>
      <w:r>
        <w:rPr>
          <w:u w:val="single"/>
        </w:rPr>
        <w:t xml:space="preserve">means a motor vehicle with a gross vehicle weight rating of less than 10,000 pounds</w:t>
      </w:r>
      <w:r>
        <w:t xml:space="preserve"> [</w:t>
      </w:r>
      <w:r>
        <w:rPr>
          <w:strike/>
        </w:rPr>
        <w:t xml:space="preserve">has the meaning assigned by Section 386.151</w:t>
      </w:r>
      <w:r>
        <w:t xml:space="preserve">].</w:t>
      </w:r>
    </w:p>
    <w:p w:rsidR="003F3435" w:rsidRDefault="0032493E">
      <w:pPr>
        <w:spacing w:line="480" w:lineRule="auto"/>
        <w:ind w:firstLine="1440"/>
        <w:jc w:val="both"/>
      </w:pPr>
      <w:r>
        <w:t xml:space="preserve">(7)</w:t>
      </w:r>
      <w:r xml:space="preserve">
        <w:t> </w:t>
      </w:r>
      <w:r xml:space="preserve">
        <w:t> </w:t>
      </w:r>
      <w:r>
        <w:t xml:space="preserve">"Motor vehicle" </w:t>
      </w:r>
      <w:r>
        <w:rPr>
          <w:u w:val="single"/>
        </w:rPr>
        <w:t xml:space="preserve">means a self-propelled device designed for transporting persons or property on a public highway that is required to be registered under Chapter 502, Transportation Code</w:t>
      </w:r>
      <w:r>
        <w:t xml:space="preserve"> [</w:t>
      </w:r>
      <w:r>
        <w:rPr>
          <w:strike/>
        </w:rPr>
        <w:t xml:space="preserve">has the meaning assigned by Section 386.151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394.001(7), Health and Safety Code, is amended to read as follows:</w:t>
      </w:r>
    </w:p>
    <w:p w:rsidR="003F3435" w:rsidRDefault="0032493E">
      <w:pPr>
        <w:spacing w:line="480" w:lineRule="auto"/>
        <w:ind w:firstLine="1440"/>
        <w:jc w:val="both"/>
      </w:pPr>
      <w:r>
        <w:t xml:space="preserve">(7)</w:t>
      </w:r>
      <w:r xml:space="preserve">
        <w:t> </w:t>
      </w:r>
      <w:r xml:space="preserve">
        <w:t> </w:t>
      </w:r>
      <w:r>
        <w:t xml:space="preserve">"Motor vehicle" has the meaning assigned by Section </w:t>
      </w:r>
      <w:r>
        <w:rPr>
          <w:u w:val="single"/>
        </w:rPr>
        <w:t xml:space="preserve">392.001</w:t>
      </w:r>
      <w:r>
        <w:t xml:space="preserve"> [</w:t>
      </w:r>
      <w:r>
        <w:rPr>
          <w:strike/>
        </w:rPr>
        <w:t xml:space="preserve">386.151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386, Health and Safety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repeal by this Act of Subchapter D, Chapter 386, Health and Safety Code, does not apply to a grant issued under that subchapter before the effective date of this Act. </w:t>
      </w:r>
      <w:r>
        <w:t xml:space="preserve"> </w:t>
      </w:r>
      <w:r>
        <w:t xml:space="preserve">A grant issued under Subchapter D, Chapter 386, Health and Safety Code, before the effective date of this Act is governed by that subchapter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