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secretary of state to maintain certain information regarding provisional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w:t>
      </w:r>
      <w:r>
        <w:t xml:space="preserve"> </w:t>
      </w:r>
      <w:r>
        <w:rPr>
          <w:u w:val="single"/>
        </w:rPr>
        <w:t xml:space="preserve">(a)</w:t>
      </w:r>
      <w:r>
        <w:t xml:space="preserve"> </w:t>
      </w:r>
      <w:r>
        <w:t xml:space="preserve"> </w:t>
      </w:r>
      <w:r>
        <w:t xml:space="preserve">Not later than the 30th day after the date of the primary, runoff primary, or general election or any special election ordered by the governor, the registrar shall electronically submit to the secretary of state the record of each voter participating in the election.</w:t>
      </w:r>
      <w:r xml:space="preserve">
        <w:t> </w:t>
      </w:r>
      <w:r xml:space="preserve">
        <w:t> </w:t>
      </w:r>
      <w:r>
        <w:t xml:space="preserve">The record must include a notation of whether the voter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voted on election day</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voted early by personal appearance</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(3)</w:t>
      </w:r>
      <w:r xml:space="preserve">
        <w:t> </w:t>
      </w:r>
      <w:r xml:space="preserve">
        <w:t> </w:t>
      </w:r>
      <w:r>
        <w:t xml:space="preserve">voted early by mail under Chapter 86</w:t>
      </w:r>
      <w:r>
        <w:rPr>
          <w:u w:val="single"/>
        </w:rPr>
        <w:t xml:space="preserve">;</w:t>
      </w:r>
      <w:r>
        <w:t xml:space="preserve">[</w:t>
      </w:r>
      <w:r>
        <w:rPr>
          <w:strike/>
        </w:rPr>
        <w:t xml:space="preserve">, or</w:t>
      </w:r>
      <w:r>
        <w:t xml:space="preserve">]</w:t>
      </w:r>
    </w:p>
    <w:p w:rsidR="003F3435" w:rsidRDefault="0032493E">
      <w:pPr>
        <w:spacing w:line="480" w:lineRule="auto"/>
        <w:ind w:firstLine="1440"/>
        <w:jc w:val="both"/>
      </w:pPr>
      <w:r>
        <w:rPr>
          <w:u w:val="single"/>
        </w:rPr>
        <w:t xml:space="preserve">(4)</w:t>
      </w:r>
      <w:r xml:space="preserve">
        <w:t> </w:t>
      </w:r>
      <w:r xml:space="preserve">
        <w:t> </w:t>
      </w:r>
      <w:r>
        <w:t xml:space="preserve">voted early by mail under Chapter 101</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voted provisionally and the reason the voter cast a provisional ballot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