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86R4593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act of smoking tobacco in a vehicle with a child present; imposing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N, Chapter 161,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N.  E-CIGARETTE AND TOBACCO USE BY </w:t>
      </w:r>
      <w:r>
        <w:rPr>
          <w:u w:val="single"/>
        </w:rPr>
        <w:t xml:space="preserve">OR NEAR</w:t>
      </w:r>
      <w:r>
        <w:t xml:space="preserve"> MINORS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N, Chapter 161, Health and Safety Code, is amended by adding Section 161.258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161.258.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SMOKING TOBACCO IN PASSENGER VEHICLE WITH CHILD PRESENT; CIVIL PENALTY.  (a)  A person is liable for a civil penalty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possesses a burning tobacco product or smokes tobacco in a vehicle;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is present in the vehicle who is required to be secured in a child passenger safety seat system during the operation of the vehicle under Section 545.412, Transportation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civil penalty imposed under Subsection (a) may not exceed: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 for the first violation;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$150 for the second or subsequent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or an appropriate prosecuting attorney may sue to collect a civil penalty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person who is subject to a civil penalty under this section completes a parenting class approved by the judge, the judge may reduce the amount of the civil penalty otherwise imposed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not stop or detain a person who is the operator or an occupant of a passenger vehicle for the sole purpose of determining whether the person might be liable for a civil penalty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