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86R5791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904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The University of Texas at San Antonio to conduct a study regarding cyber attacks against financial institutions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71, Education Code, is amended by adding Section 71.07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71.07.</w:t>
      </w:r>
      <w:r>
        <w:rPr>
          <w:u w:val="single"/>
        </w:rPr>
        <w:t xml:space="preserve"> </w:t>
      </w:r>
      <w:r>
        <w:rPr>
          <w:u w:val="single"/>
        </w:rPr>
        <w:t xml:space="preserve"> </w:t>
      </w:r>
      <w:r>
        <w:rPr>
          <w:u w:val="single"/>
        </w:rPr>
        <w:t xml:space="preserve">STUDY AND REPORT REGARDING CYBER ATTACKS AGAINST FINANCIAL INSTITUTIONS.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"Breach of system security"</w:t>
      </w:r>
      <w:r>
        <w:rPr>
          <w:u w:val="single"/>
        </w:rPr>
        <w:t xml:space="preserve"> </w:t>
      </w:r>
      <w:r>
        <w:rPr>
          <w:u w:val="single"/>
        </w:rPr>
        <w:t xml:space="preserve">has the meaning assigned by Section 521.053, Business &amp; Commerce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"Financial institution" has the meaning assigned by Section 201.101, Finance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University of Texas at San Antonio shall conduct a study regarding cyber attacks against financial institutions in this state.  The study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 </w:t>
      </w:r>
      <w:r>
        <w:rPr>
          <w:u w:val="single"/>
        </w:rPr>
        <w:t xml:space="preserve">an evaluation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prevalence and impact of and breaches of system security resulting from cyber attacks on financial institutions;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vulnerability of financial institutions to cyber attacks and the security risks cyber attacks present to those institutions;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identification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projects necessary to modernize the security systems of financial institutions;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recommendations to improve the cybersecurity infrastructure of financial institutions;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best practices to prevent or lessen the impact of cyber attacks on financial institutions;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examination of any other aspect of cyber attacks on the operation of financial institutions as considered appropriate by the university.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conducting the study, the university shall consult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of Information Resources;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Texas Department of Banking;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Department of Savings and Mortgage Lending;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Credit Union Department;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community stakeholders;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other interested parties.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the extent permitted by state or federal law, a financial institution shall cooperate with and provide, on request, information to The University of Texas at San Antonio to allow the university to perform its duties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1, 2020, The University of Texas at San Antonio shall submit a written report on the results of the study to the governor, the lieutenant governor, the speaker of the house of representatives, and the presiding officer of each standing committee of the senate and house of representatives having primary jurisdiction over financial services matters and to the Legislative Budget Board. </w:t>
      </w:r>
      <w:r>
        <w:rPr>
          <w:u w:val="single"/>
        </w:rPr>
        <w:t xml:space="preserve"> </w:t>
      </w:r>
      <w:r>
        <w:rPr>
          <w:u w:val="single"/>
        </w:rPr>
        <w:t xml:space="preserve">The report must include any recommendations for changes to applicable state statutes or rules.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