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et al.</w:t>
      </w:r>
      <w:r xml:space="preserve">
        <w:tab wTab="150" tlc="none" cTlc="0"/>
      </w:r>
      <w:r>
        <w:t xml:space="preserve">H.B.</w:t>
      </w:r>
      <w:r xml:space="preserve">
        <w:t> </w:t>
      </w:r>
      <w:r>
        <w:t xml:space="preserve">No.</w:t>
      </w:r>
      <w:r xml:space="preserve">
        <w:t> </w:t>
      </w:r>
      <w:r>
        <w:t xml:space="preserve">906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Powell, Hall)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2019; April</w:t>
      </w:r>
      <w:r xml:space="preserve">
        <w:t> </w:t>
      </w:r>
      <w:r>
        <w:t xml:space="preserve">25,</w:t>
      </w:r>
      <w:r xml:space="preserve">
        <w:t> </w:t>
      </w:r>
      <w:r>
        <w:t xml:space="preserve">2019, read first time and referred to Committee on Education; May</w:t>
      </w:r>
      <w:r xml:space="preserve">
        <w:t> </w:t>
      </w:r>
      <w:r>
        <w:t xml:space="preserve">13,</w:t>
      </w:r>
      <w:r xml:space="preserve">
        <w:t> </w:t>
      </w:r>
      <w:r>
        <w:t xml:space="preserve">2019, reported adversely, with favorable Committee Substitute by the following vote:</w:t>
      </w:r>
      <w:r>
        <w:t xml:space="preserve"> </w:t>
      </w:r>
      <w:r>
        <w:t xml:space="preserve"> </w:t>
      </w:r>
      <w:r>
        <w:t xml:space="preserve">Yeas 11, Nays 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906</w:t>
      </w:r>
      <w:r xml:space="preserve">
        <w:tab wTab="150" tlc="none" cTlc="0"/>
      </w:r>
      <w:r>
        <w:t xml:space="preserve">By:</w:t>
      </w:r>
      <w:r xml:space="preserve">
        <w:t> </w:t>
      </w:r>
      <w:r xml:space="preserve">
        <w:t> </w:t>
      </w:r>
      <w:r>
        <w:t xml:space="preserve">Powell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collaborative task force to study certain public school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F to read as follows:</w:t>
      </w:r>
    </w:p>
    <w:p w:rsidR="003F3435" w:rsidRDefault="0032493E">
      <w:pPr>
        <w:spacing w:line="480" w:lineRule="auto"/>
        <w:jc w:val="center"/>
      </w:pPr>
      <w:r>
        <w:rPr>
          <w:u w:val="single"/>
        </w:rPr>
        <w:t xml:space="preserve">SUBCHAPTER F. COLLABORATIVE TASK FORCE ON PUBLIC SCHOOL MENTAL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"Task force" means the Collaborative Task Force on Public School Mental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38.302.</w:t>
      </w:r>
      <w:r>
        <w:rPr>
          <w:u w:val="single"/>
        </w:rPr>
        <w:t xml:space="preserve"> </w:t>
      </w:r>
      <w:r>
        <w:rPr>
          <w:u w:val="single"/>
        </w:rPr>
        <w:t xml:space="preserve"> </w:t>
      </w:r>
      <w:r>
        <w:rPr>
          <w:u w:val="single"/>
        </w:rPr>
        <w:t xml:space="preserve">ESTABLISHMENT.  The Collaborative Task Force on Public School Mental Health Services is established to study and evaluate: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mental health services that are funded by this state and provided at a school district or open-enrollment charter school directly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enrolled in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parent or family member of or person standing in parental relation to a student enrolled in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provided to an educator employed by the district or school to provide the mental health services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impact the mental health services described by Subdivision (1) have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violent incidents that occur at school districts or open-enrollment charter schools;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suicide rate of the individuals who are provided the mental health services described by Subdivision (1);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public school students referred to the Department of Family and Protective Services for investigation services and the reasons for those referrals;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individuals who are transported from each school district or open-enrollment charter school for an emergency detention under Chapter 573, Health and Safety Code;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public school students referred to outside counselors in accordance with Section 38.010.</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task force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or the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additional members appointed by the commissioner: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parents of students who are enrolled in school districts or open-enrollment charter schools and receive the mental health services described by Section 38.302(1);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person who provides the mental health services described by Section 38.302(1) or the training described by Section 38.302(2) and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licensed professional counselor, as defined by Section 503.002, Occupations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licensed clinical social worker, as defined by Section 505.002, Occupations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school counselor certified under Subchapter B, Chapter 21;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person who is a psychiatrist;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two persons who are administrators of districts or schools that provide the mental health services described by Section 38.302(1) or the training described by Section 38.302(2);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person who is a member of a foundation that invests in the mental health services described by Section 38.302(1) or the training described by Section 38.302(2);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one person who is an employee of an institution of higher education designated under Section 38.307;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one person who is a licensed specialist in school psychology, as defined by Section 501.002, Occupations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any other entity the task force considers necessary, one person appointed by the task force for each such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task force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Government Code, does not apply to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38.304.</w:t>
      </w:r>
      <w:r>
        <w:rPr>
          <w:u w:val="single"/>
        </w:rPr>
        <w:t xml:space="preserve"> </w:t>
      </w:r>
      <w:r>
        <w:rPr>
          <w:u w:val="single"/>
        </w:rPr>
        <w:t xml:space="preserve"> </w:t>
      </w:r>
      <w:r>
        <w:rPr>
          <w:u w:val="single"/>
        </w:rPr>
        <w:t xml:space="preserve">OFFICERS.  (a)  The commissioner is designated as the interim presiding officer for purposes of calling and conducting the initial meeting of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at its initial meeting select a presiding officer from among its members for the purpose of calling and conducting meetings;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select an assistant presiding officer and a secretary from among its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38.305.</w:t>
      </w:r>
      <w:r>
        <w:rPr>
          <w:u w:val="single"/>
        </w:rPr>
        <w:t xml:space="preserve"> </w:t>
      </w:r>
      <w:r>
        <w:rPr>
          <w:u w:val="single"/>
        </w:rPr>
        <w:t xml:space="preserve"> </w:t>
      </w:r>
      <w:r>
        <w:rPr>
          <w:u w:val="single"/>
        </w:rPr>
        <w:t xml:space="preserve">COMPENSATION; REIMBURSEMENT.  A member of the task force may not receive compensation or reimbursement for service on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38.306.</w:t>
      </w:r>
      <w:r>
        <w:rPr>
          <w:u w:val="single"/>
        </w:rPr>
        <w:t xml:space="preserve"> </w:t>
      </w:r>
      <w:r>
        <w:rPr>
          <w:u w:val="single"/>
        </w:rPr>
        <w:t xml:space="preserve"> </w:t>
      </w:r>
      <w:r>
        <w:rPr>
          <w:u w:val="single"/>
        </w:rPr>
        <w:t xml:space="preserve">MEETINGS.  (a)  After its initial meeting, the task force shall meet at least twice each year at a time and place determined by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may meet at other times the task force considers appropriate. </w:t>
      </w:r>
      <w:r>
        <w:rPr>
          <w:u w:val="single"/>
        </w:rPr>
        <w:t xml:space="preserve"> </w:t>
      </w:r>
      <w:r>
        <w:rPr>
          <w:u w:val="single"/>
        </w:rPr>
        <w:t xml:space="preserve">The presiding officer may call a meeting on the officer's own motion.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may meet by teleconference.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38.307.</w:t>
      </w:r>
      <w:r>
        <w:rPr>
          <w:u w:val="single"/>
        </w:rPr>
        <w:t xml:space="preserve"> </w:t>
      </w:r>
      <w:r>
        <w:rPr>
          <w:u w:val="single"/>
        </w:rPr>
        <w:t xml:space="preserve"> </w:t>
      </w:r>
      <w:r>
        <w:rPr>
          <w:u w:val="single"/>
        </w:rPr>
        <w:t xml:space="preserve">SUPPORT SERVICES FOR TASK FORCE.  (a)  The commissioner shall designate one institution of higher education with experience in evaluating mental health services to serve as the lead institution for the task force.  The institution designated under this subsection shall provide faculty, staff, and administrative support services to the task force as determined necessary by the task force to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designate two institutions of higher education with experience in evaluating mental health services to assist the task force and the lead institution designated under Subsection (a) as determined necessary by the task force to administer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designation under this section, the commissioner shall give preference to at least one predominantly black institution, as defined by 20 U.S.C. Section 1067q(c)(9).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of the task force, the agency, a school district, or an open-enrollment charter school shall provide information or other assistance to the task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the data collected by the task force and the work product of the task force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agency's information security plan under Section 2054.133,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records retention schedule under Section 441.185,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38.308.</w:t>
      </w:r>
      <w:r>
        <w:rPr>
          <w:u w:val="single"/>
        </w:rPr>
        <w:t xml:space="preserve"> </w:t>
      </w:r>
      <w:r>
        <w:rPr>
          <w:u w:val="single"/>
        </w:rPr>
        <w:t xml:space="preserve"> </w:t>
      </w:r>
      <w:r>
        <w:rPr>
          <w:u w:val="single"/>
        </w:rPr>
        <w:t xml:space="preserve">DUTIES OF TASK FORCE.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gather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students enrolled in each school district and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individuals to whom each school district or open-enrollment charter school provides the mental health services described by Section 38.302(1);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individuals for whom each school district or open-enrollment charter school has the resources to provide the mental health services described by Section 38.302(1);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individuals described by Paragraph (B) who are referred to an inpatient or outpatient mental health provider;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individuals who are transported from each school district or open-enrollment charter school for an emergency detention under Chapter 573, Health and Safety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race, ethnicity, gender, special education status, educationally disadvantaged status, and geographic location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individuals who are provided the mental health services described by Section 38.302(1);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are described by Paragraph (D);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individuals who are described by Paragraph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 evaluate, and make recommendations regarding the mental health services described by Section 38.302(1), the training described by Section 38.302(2), and the impact of those mental health services, as described by Section 38.302(3), including addressing: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outcomes and the effectiveness of the services and training provided, including the outcomes and effectiveness of the service and training providers and the programs under which services and training are provided,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improving student academic achievement and attendance;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student disciplinary proceedings, suspensions, placements in a disciplinary alternative education program, and expulsions;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delivering prevention and intervention services to promote early mental health skills,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building skills relating to managing emotions, establishing and maintaining positive relationships, and making responsible decisions;</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preventing substance abuse;</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preventing suicides;</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adhering to the purpose of the relevant program services or training;</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promoting trauma-informed practices;</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promoting a positive school climate, as defined by Section 161.325(a-3), Health and Safety Code, in the district or school; and</w:t>
      </w:r>
    </w:p>
    <w:p w:rsidR="003F3435" w:rsidRDefault="0032493E">
      <w:pPr>
        <w:spacing w:line="480" w:lineRule="auto"/>
        <w:ind w:firstLine="3600"/>
        <w:jc w:val="both"/>
      </w:pPr>
      <w:r>
        <w:rPr>
          <w:u w:val="single"/>
        </w:rPr>
        <w:t xml:space="preserve">(g)</w:t>
      </w:r>
      <w:r>
        <w:rPr>
          <w:u w:val="single"/>
        </w:rPr>
        <w:t xml:space="preserve"> </w:t>
      </w:r>
      <w:r>
        <w:rPr>
          <w:u w:val="single"/>
        </w:rPr>
        <w:t xml:space="preserve"> </w:t>
      </w:r>
      <w:r>
        <w:rPr>
          <w:u w:val="single"/>
        </w:rPr>
        <w:t xml:space="preserve">improving physical and emotional safety and well-being in the district or school and reducing violence in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best practices for districts and schools in implementing the services or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disparities in the race, ethnicity, gender, special education status, and geographic location of individuals receiving the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best practices to replicate the services or training for all districts and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38.309.</w:t>
      </w:r>
      <w:r>
        <w:rPr>
          <w:u w:val="single"/>
        </w:rPr>
        <w:t xml:space="preserve"> </w:t>
      </w:r>
      <w:r>
        <w:rPr>
          <w:u w:val="single"/>
        </w:rPr>
        <w:t xml:space="preserve"> </w:t>
      </w:r>
      <w:r>
        <w:rPr>
          <w:u w:val="single"/>
        </w:rPr>
        <w:t xml:space="preserve">PRIVACY OF INFORMATION.  The task force shall ensure that data gathered, information studied, and evaluations conducted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shared with a federal agency or state agency, including an institution of higher education, except as otherwise provided by this subchapter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38.310.</w:t>
      </w:r>
      <w:r>
        <w:rPr>
          <w:u w:val="single"/>
        </w:rPr>
        <w:t xml:space="preserve"> </w:t>
      </w:r>
      <w:r>
        <w:rPr>
          <w:u w:val="single"/>
        </w:rPr>
        <w:t xml:space="preserve"> </w:t>
      </w:r>
      <w:r>
        <w:rPr>
          <w:u w:val="single"/>
        </w:rPr>
        <w:t xml:space="preserve">REPORTS.  Not later than November 1 of each even-numbered year, the task force shall submit to the governor, the lieutenant governor, the speaker of the house of representatives, and the agency a report of the results of the task force's activities conducted under Section 38.308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38.311.</w:t>
      </w:r>
      <w:r>
        <w:rPr>
          <w:u w:val="single"/>
        </w:rPr>
        <w:t xml:space="preserve"> </w:t>
      </w:r>
      <w:r>
        <w:rPr>
          <w:u w:val="single"/>
        </w:rPr>
        <w:t xml:space="preserve"> </w:t>
      </w:r>
      <w:r>
        <w:rPr>
          <w:u w:val="single"/>
        </w:rPr>
        <w:t xml:space="preserve">FUNDING; ADMINISTRATIVE COST RESTRICTION; GIFTS AND GRANTS.  (a)  Of state funds allocated to the agency for public school mental health services, the commissioner may provide not more than 10 percent for purposes of the task force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may not spend for the administration of the task force more than 10 percent of any money allocated to the task force for the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may accept a gift or grant from a person other than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38.312.</w:t>
      </w:r>
      <w:r>
        <w:rPr>
          <w:u w:val="single"/>
        </w:rPr>
        <w:t xml:space="preserve"> </w:t>
      </w:r>
      <w:r>
        <w:rPr>
          <w:u w:val="single"/>
        </w:rPr>
        <w:t xml:space="preserve"> </w:t>
      </w:r>
      <w:r>
        <w:rPr>
          <w:u w:val="single"/>
        </w:rPr>
        <w:t xml:space="preserve">EXPIRATION.  The task force is abolished and this subchapter expires December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October 1, 2019, the commissioner of education shall:</w:t>
      </w:r>
    </w:p>
    <w:p w:rsidR="003F3435" w:rsidRDefault="0032493E">
      <w:pPr>
        <w:spacing w:line="480" w:lineRule="auto"/>
        <w:ind w:firstLine="1440"/>
        <w:jc w:val="both"/>
      </w:pPr>
      <w:r>
        <w:t xml:space="preserve">(1)</w:t>
      </w:r>
      <w:r xml:space="preserve">
        <w:t> </w:t>
      </w:r>
      <w:r xml:space="preserve">
        <w:t> </w:t>
      </w:r>
      <w:r>
        <w:t xml:space="preserve">appoint the members of the Collaborative Task Force on Public School Mental Health Services that are to be appointed by the commissioner, as required by Section 38.303, Education Code, as added by this Act; and</w:t>
      </w:r>
    </w:p>
    <w:p w:rsidR="003F3435" w:rsidRDefault="0032493E">
      <w:pPr>
        <w:spacing w:line="480" w:lineRule="auto"/>
        <w:ind w:firstLine="1440"/>
        <w:jc w:val="both"/>
      </w:pPr>
      <w:r>
        <w:t xml:space="preserve">(2)</w:t>
      </w:r>
      <w:r xml:space="preserve">
        <w:t> </w:t>
      </w:r>
      <w:r xml:space="preserve">
        <w:t> </w:t>
      </w:r>
      <w:r>
        <w:t xml:space="preserve">designate the institutions of higher education to provide support services, as required by Section 38.307,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