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86R22919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et al.</w:t>
      </w:r>
      <w:r xml:space="preserve">
        <w:tab wTab="150" tlc="none" cTlc="0"/>
      </w:r>
      <w:r>
        <w:t xml:space="preserve">H.B.</w:t>
      </w:r>
      <w:r xml:space="preserve">
        <w:t> </w:t>
      </w:r>
      <w:r>
        <w:t xml:space="preserve">No.</w:t>
      </w:r>
      <w:r xml:space="preserve">
        <w:t> </w:t>
      </w:r>
      <w:r>
        <w:t xml:space="preserve">918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918:</w:t>
      </w: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C.S.H.B.</w:t>
      </w:r>
      <w:r xml:space="preserve">
        <w:t> </w:t>
      </w:r>
      <w:r>
        <w:t xml:space="preserve">No.</w:t>
      </w:r>
      <w:r xml:space="preserve">
        <w:t> </w:t>
      </w:r>
      <w:r>
        <w:t xml:space="preserve">918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discharged or released inmates with certain documents, including documents to assist the inmate in obtaining employment.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501, Government Code, is amended by adding Sections 501.0155 and 501.0166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501.0155.</w:t>
      </w:r>
      <w:r>
        <w:rPr>
          <w:u w:val="single"/>
        </w:rPr>
        <w:t xml:space="preserve"> </w:t>
      </w:r>
      <w:r>
        <w:rPr>
          <w:u w:val="single"/>
        </w:rPr>
        <w:t xml:space="preserve"> </w:t>
      </w:r>
      <w:r>
        <w:rPr>
          <w:u w:val="single"/>
        </w:rPr>
        <w:t xml:space="preserve">PROVIDING DISCHARGED OR RELEASED INMATE WITH DOCUMENTATION FOR EMPLOYMENT.  When an inmate who is able to work, as determined by the department based on the inmate's age or mental or physical condition, is discharged or released on parole, mandatory supervision, or conditional pardon and the intended residence designated by the inmate is in this state, the department shall provide the inmate with relevant documentation to assist the inmate in obtaining post-release employment,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applicable, a copy of the inmate's job training record described by Section 497.094 and the inmate's work record described by Section 497.095;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inmate who completed a prerelease program required by a parole panel as a condition of release: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resume that includes any trade learned by the inmate and the inmate's proficiency at that trade;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documentation that the inmate has completed a practice job interview.</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501.0166.</w:t>
      </w:r>
      <w:r>
        <w:rPr>
          <w:u w:val="single"/>
        </w:rPr>
        <w:t xml:space="preserve"> </w:t>
      </w:r>
      <w:r>
        <w:rPr>
          <w:u w:val="single"/>
        </w:rPr>
        <w:t xml:space="preserve"> </w:t>
      </w:r>
      <w:r>
        <w:rPr>
          <w:u w:val="single"/>
        </w:rPr>
        <w:t xml:space="preserve">PROVIDING DISCHARGED OR RELEASED INMATE WITH BIRTH CERTIFICATE AND SOCIAL SECURITY CARD.  (a)  In addition to complying with the requirements of Section 501.0165 regarding a license or personal identification certificate for an inmate being discharged or released on parole, mandatory supervision, or conditional pardon, the department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 the inmate has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certified copy of the inmate's birth certificate;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copy of the inmate's social security card;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inmate does not have a document described by Subdivision (1), submit to the appropriate entity on behalf of the inmate a request for the issuance of the applicable document.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submit a request under Subsection (a)(2) as soon as is practicable to enable the department to provide the inmate with the applicable document when the department discharges or releases the inmate.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an inmate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legally present in the United States;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not a resident of this state before the person was placed in the custody of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