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86R5165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918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certain discharged or released inmates with documentation to assist in obtaining employment.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501.0155.</w:t>
      </w:r>
      <w:r>
        <w:rPr>
          <w:u w:val="single"/>
        </w:rPr>
        <w:t xml:space="preserve"> </w:t>
      </w:r>
      <w:r>
        <w:rPr>
          <w:u w:val="single"/>
        </w:rPr>
        <w:t xml:space="preserve"> </w:t>
      </w:r>
      <w:r>
        <w:rPr>
          <w:u w:val="single"/>
        </w:rPr>
        <w:t xml:space="preserve">PROVIDING DISCHARGED OR RELEASED INMATE WITH DOCUMENTATION FOR EMPLOYMENT.  When an inmate is discharged or released on parole, mandatory supervision, or conditional pardon and the intended residence designated by the inmate is in this state, the department shall provide the inmate with relevant documentation to assist the inmate in obtaining post-release employment,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copy of the inmate's job training record described by Section 497.094;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copy of the inmate's work record described by Section 497.095;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personal identification certificate requested to be issued under Section 501.0165;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the inmate's birth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inmate's social security card or a replacement social security card;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resume that includes any trade learned by the inmate and the inmate's proficiency at that trade;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documentation that the inmate has completed a practice job interview.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