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86R5017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of an alternative treatment after the approval of a utilization review.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4201, Insurance Code, is amended by adding Section 4201.005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4201.005.</w:t>
      </w:r>
      <w:r>
        <w:rPr>
          <w:u w:val="single"/>
        </w:rPr>
        <w:t xml:space="preserve"> </w:t>
      </w:r>
      <w:r>
        <w:rPr>
          <w:u w:val="single"/>
        </w:rPr>
        <w:t xml:space="preserve"> </w:t>
      </w:r>
      <w:r>
        <w:rPr>
          <w:u w:val="single"/>
        </w:rPr>
        <w:t xml:space="preserve">COVERAGE OF ALTERNATE HEALTH CARE SERVICES.  If a health care service is approved by a utilization review, the payor or the payor's administrator may not deny coverage for an alternate health care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alternate health care service is approved by the United States Food and Drug Administration to treat the condition for which the utilization review was requested;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the alternate health care service does not exceed the cost of the approved health care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