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86R7398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Zedler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surety bond requirements for concrete batch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251, Transportation Code, is amended by adding Section 251.020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SURETY BOND FOR CONCRETE BATCH PLANT DAMAGE TO ROADS.  A commissioners court by order may require the owner of a concrete batch plant operating in the county to file a surety bond in an amount determined by the commissioners court and conditioned that the owner will pay to the county an amount to repair any damage to a highway caused by the operation of vehicles used in the operation of the plant.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