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86R7398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surety bond requirements for concrete batch plants.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251, Transportation Code, is amended by adding Section 251.020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251.020.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SURETY BOND FOR CONCRETE BATCH PLANT DAMAGE TO ROADS.  A commissioners court by order may require the owner of a concrete batch plant operating in the county to file a surety bond in an amount determined by the commissioners court and conditioned that the owner will pay to the county an amount to repair any damage to a highway caused by the operation of vehicles used in the operation of the plant.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