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86R5911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934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t>
      </w:r>
      <w:r>
        <w:rPr>
          <w:strike/>
        </w:rPr>
        <w:t xml:space="preserve">knowingly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knowingly</w:t>
      </w:r>
      <w:r>
        <w:t xml:space="preserve"> 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rPr>
          <w:u w:val="single"/>
        </w:rPr>
        <w:t xml:space="preserve">knowingly</w:t>
      </w:r>
      <w:r>
        <w:t xml:space="preserve"> 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rPr>
          <w:u w:val="single"/>
        </w:rPr>
        <w:t xml:space="preserve">knowingly</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rPr>
          <w:u w:val="single"/>
        </w:rPr>
        <w:t xml:space="preserve">engages in sexual conduct with a person trafficked in the manner described by Subdivision (3), regardless of whether the actor knows that the person has been trafficked in the manner described by that subdivision, or knowingly</w:t>
      </w:r>
      <w:r>
        <w:t xml:space="preserve"> </w:t>
      </w:r>
      <w:r>
        <w:t xml:space="preserve">receives a benefit from participating in a venture that involves an activity described by Subdivision (3) [</w:t>
      </w:r>
      <w:r>
        <w:rPr>
          <w:strike/>
        </w:rPr>
        <w:t xml:space="preserve">or engages in sexual conduct with a person trafficked in the manner described in Subdivision (3)</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knowingly</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rPr>
          <w:u w:val="single"/>
        </w:rPr>
        <w:t xml:space="preserve">knowingly</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rPr>
          <w:u w:val="single"/>
        </w:rPr>
        <w:t xml:space="preserve">knowingly</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rPr>
          <w:u w:val="single"/>
        </w:rPr>
        <w:t xml:space="preserve">engages in sexual conduct with a child trafficked in the manner described by Subdivision (7), regardless of whether the actor knows that the child has been trafficked in the manner described by that subdivision, or  knowingly</w:t>
      </w:r>
      <w:r xml:space="preserve">
        <w:t> </w:t>
      </w:r>
      <w:r>
        <w:t xml:space="preserve">receives a benefit from participating in a venture that involves an activity described by Subdivision (7) [</w:t>
      </w:r>
      <w:r>
        <w:rPr>
          <w:strike/>
        </w:rPr>
        <w:t xml:space="preserve">or engages in sexual conduct with a child trafficked in the manner described in Subdivision (7)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