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leaving of a dog unattended in an open-air truck bed only for the time necessary for the owner to complete a temporary task that requires the dog to be left unattended in the truck bed.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OFFENSE; PENALTY.  (a)  A person commits an offense if the person knowingly violates this subchapter.  The restraint of each dog that is in violation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is a Class C misdemeanor, except that the offense is a Class B misdemeanor if the person has previously been convicted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subchapter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821.105.</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