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86R7059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child-care facility database on the Health and Human Services Commission's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SEARCHABLE CHILD-CARE FACILITY DATABASE. </w:t>
      </w:r>
      <w:r>
        <w:rPr>
          <w:u w:val="single"/>
        </w:rPr>
        <w:t xml:space="preserve"> </w:t>
      </w:r>
      <w:r>
        <w:rPr>
          <w:u w:val="single"/>
        </w:rPr>
        <w:t xml:space="preserve">(a) </w:t>
      </w:r>
      <w:r>
        <w:rPr>
          <w:u w:val="single"/>
        </w:rPr>
        <w:t xml:space="preserve"> </w:t>
      </w:r>
      <w:r>
        <w:rPr>
          <w:u w:val="single"/>
        </w:rPr>
        <w:t xml:space="preserve">The commission shall establish on the commission's Internet website a searchable database that allows an individual to obtain information on the child-care facilities and residential child-care facilities licensed under this chapter and the family homes registered or listed under this chapter. </w:t>
      </w:r>
      <w:r>
        <w:rPr>
          <w:u w:val="single"/>
        </w:rPr>
        <w:t xml:space="preserve"> </w:t>
      </w:r>
      <w:r>
        <w:rPr>
          <w:u w:val="single"/>
        </w:rPr>
        <w:t xml:space="preserve">To assist the individual in making an informed decision when selecting child care, the database must be easily accessible and allow a person to search the database by facility or home name, operation type, and location and by the ages of children served at the facility or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child-care facility and residential child-care facility licensed under this chapter and each family home registered or listed under this chapter,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whether the facility or home has sufficient liability insurance coverage for the number of children the facility or home is authorized to serve under its license or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whether the facility or home has surveillance cameras that provide adequate observation of caregiver and child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caregiver-to-child ratio and the date this ratio was last measured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link to commission investigative reports on the commission's Internet website;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on whether all facility or home personnel have undergone criminal history record checks and the date the commission verified compliance with required checks.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30, 2019, the Health and Human Services Commission shall establish the database on its Internet website as required by Section 42.026,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