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86R7506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notice of intent to obtain a permit from the Texas Commission on Environmental Quality at the site of the facility or proposed facility for which the permit is sought.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 Water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At the site of the facility or proposed facility for which an applicant is required to publish notice under this section, the applicant shall place a sign that complies with rules adopted by the commission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application for a permit for a facility at the site has been filed;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commission may be contacted for further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application that is filed with the Texas Commission on Environmental Quality on or after the effective date of this Act.  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