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946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increases in the appraised value of a residence homestead for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t xml:space="preserve">[</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for ad valorem taxation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authorize the legislature to set a lower limit on the maximum appraised value of a residence homestead for ad valorem taxation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