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86R392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947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exemptions from the motor vehicle use tax for a motor vehicle brought into this state by an active duty member of the United States armed forces or the member's spouse.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152.022,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tax imposed by this section does not apply to a motor vehicle purchased at retail sale outside this state and used on the public highways of this state by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active duty member of the United States armed forces;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spouse of a person described by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152.023, Tax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tax imposed by this section does not apply to a motor vehicle described by Subsection (a) that is brought into this state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 an active duty member of the United States armed forces;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spouse of a person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