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86R7251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aggravated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22.02(b)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offense is committed under Subsection (a)(1) and the actor's conduct resulted in the paralysis of the victim of the offense</w:t>
      </w:r>
      <w:r>
        <w:t xml:space="preserve">.</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"Paralysis" means, with respect to the human body, the complete and permanent loss, in part or most of the body, of feeling or the ability to move, resulting in loss of the ability to walk.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w:t>
      </w:r>
      <w:r>
        <w:t xml:space="preserve"> [</w:t>
      </w:r>
      <w:r>
        <w:rPr>
          <w:strike/>
        </w:rPr>
        <w:t xml:space="preserve">, "security</w:t>
      </w:r>
      <w:r>
        <w:t xml:space="preserve">] officer" means a commissioned security officer as defined by Section 1702.002, Occupations Code, or a noncommissioned security officer registered under Section 1702.221,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