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86R8321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review board to determine the appraised value of property that is the subject of a protest to be an amount greater than the appraised value as shown in the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for which the notice of protest was filed by a property owner or the designated agent of the owner with an appraisal review board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