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Zerwas, Reynolds, Stephenson</w:t>
      </w:r>
      <w:r xml:space="preserve">
        <w:tab wTab="150" tlc="none" cTlc="0"/>
      </w:r>
      <w:r>
        <w:t xml:space="preserve">H.B.</w:t>
      </w:r>
      <w:r xml:space="preserve">
        <w:t> </w:t>
      </w:r>
      <w:r>
        <w:t xml:space="preserve">No.</w:t>
      </w:r>
      <w:r xml:space="preserve">
        <w:t> </w:t>
      </w:r>
      <w:r>
        <w:t xml:space="preserve">956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county assistance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387, Local Government Code, is amended by adding Section 387.013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387.013.</w:t>
      </w:r>
      <w:r>
        <w:rPr>
          <w:u w:val="single"/>
        </w:rPr>
        <w:t xml:space="preserve"> </w:t>
      </w:r>
      <w:r>
        <w:rPr>
          <w:u w:val="single"/>
        </w:rPr>
        <w:t xml:space="preserve"> </w:t>
      </w:r>
      <w:r>
        <w:rPr>
          <w:u w:val="single"/>
        </w:rPr>
        <w:t xml:space="preserve">DISSOLUTION.  (a) </w:t>
      </w:r>
      <w:r>
        <w:rPr>
          <w:u w:val="single"/>
        </w:rPr>
        <w:t xml:space="preserve"> </w:t>
      </w:r>
      <w:r>
        <w:rPr>
          <w:u w:val="single"/>
        </w:rPr>
        <w:t xml:space="preserve">The governing body of a district may petition the commissioners court of the county in which the district was created to dissolve the district if a majority of the governing body finds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shall hold a hearing on the dissolution of a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receives a petition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in which the commissioners court acts as the governing body of the district, a majority of the commissioners court finds that the performance of the district's functions cannot be accomplished to the benefit of the residents and owners of land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under Subsection (b) must be held not later than the 61st day after the commissioners court receives the petition under Subsection (b)(1) or makes the finding described by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shall give notice of the hearing as required by law and include in the notice information regarding the right of the residents and owners of land in the district to appear and present evidence for or against the district's dissolution.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commissioners court shall order the district dissolved and the district's assets transferred to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 unanimously votes that dissolution of the district is in the best interests of the district, the county in which the district is located, and the residents and owners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no outstanding bonds payable wholly or partly from district revenue and the dissolution does not impair any outstanding district debt or contractual obligation.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