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 et al.</w:t>
      </w:r>
      <w:r>
        <w:t xml:space="preserve"> (Senate Sponsor</w:t>
      </w:r>
      <w:r xml:space="preserve">
        <w:t> </w:t>
      </w:r>
      <w:r>
        <w:t xml:space="preserve">-</w:t>
      </w:r>
      <w:r xml:space="preserve">
        <w:t> </w:t>
      </w:r>
      <w:r>
        <w:t xml:space="preserve">Miles)</w:t>
      </w:r>
      <w:r xml:space="preserve">
        <w:tab wTab="150" tlc="none" cTlc="0"/>
      </w:r>
      <w:r>
        <w:t xml:space="preserve">H.B.</w:t>
      </w:r>
      <w:r xml:space="preserve">
        <w:t> </w:t>
      </w:r>
      <w:r>
        <w:t xml:space="preserve">No.</w:t>
      </w:r>
      <w:r xml:space="preserve">
        <w:t> </w:t>
      </w:r>
      <w:r>
        <w:t xml:space="preserve">956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dissolution of county assistance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387, Local Government Code, is amended by adding Section 387.013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387.013.</w:t>
      </w:r>
      <w:r>
        <w:rPr>
          <w:u w:val="single"/>
        </w:rPr>
        <w:t xml:space="preserve"> </w:t>
      </w:r>
      <w:r>
        <w:rPr>
          <w:u w:val="single"/>
        </w:rPr>
        <w:t xml:space="preserve"> </w:t>
      </w:r>
      <w:r>
        <w:rPr>
          <w:u w:val="single"/>
        </w:rPr>
        <w:t xml:space="preserve">DISSOLUTION.  (a) </w:t>
      </w:r>
      <w:r>
        <w:rPr>
          <w:u w:val="single"/>
        </w:rPr>
        <w:t xml:space="preserve"> </w:t>
      </w:r>
      <w:r>
        <w:rPr>
          <w:u w:val="single"/>
        </w:rPr>
        <w:t xml:space="preserve">The governing body of a district may petition the commissioners court of the county in which the district was created to dissolve the district if a majority of the governing body finds the performance of the district's functions cannot be accomplished to the benefit of the residents and owners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shall hold a hearing on the dissolution of a district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 receives a petition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district in which the commissioners court acts as the governing body of the district, a majority of the commissioners court finds that the performance of the district's functions cannot be accomplished to the benefit of the residents and owners of land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hearing under Subsection (b) must be held not later than the 61st day after the commissioners court receives the petition under Subsection (b)(1) or makes the finding described by Subsection (b)(2).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commissioners court shall give notice of the hearing as required by law and include in the notice information regarding the right of the residents and owners of land in the district to appear and present evidence for or against the district's dissolution.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commissioners court shall order the district dissolved and the district's assets transferred to the county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 unanimously votes that dissolution of the district is in the best interests of the district, the county in which the district is located, and the residents and owners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no outstanding bonds payable wholly or partly from district revenue and the dissolution does not impair any outstanding district debt or contractual obligation.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