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membership and training course requirements of a public school concussion oversight team and the removal of a public school student from an interscholastic athletic activity on the basis of a suspected concussion.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38.154,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school district or open-enrollment charter school employs a school nurse, the school nurse may be a member of the district or charter school concussion oversight team if requested by the school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38.156.</w:t>
      </w:r>
      <w:r xml:space="preserve">
        <w:t> </w:t>
      </w:r>
      <w:r xml:space="preserve">
        <w:t> </w:t>
      </w:r>
      <w:r>
        <w:t xml:space="preserve">REMOVAL FROM PLAY IN PRACTICE OR COMPETITION FOLLOWING CONCUSSION.  A student shall be removed from an interscholastic athletics practice or competition immediately if one of the following persons believes the student might have sustained a concussion during the practice or competition: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licensed health care professional;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licensed under Chapter 201, Occupations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rPr>
          <w:u w:val="single"/>
        </w:rPr>
        <w:t xml:space="preserve">a school nurse;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 xml:space="preserve">
        <w:t> </w:t>
      </w:r>
      <w:r>
        <w:t xml:space="preserve">the student's parent or guardian or another person with legal authority to make medical decisions for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38.158(c), (e), and (g),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persons must take a training course in accordance with Subsection (e) from an authorized training provider at least once every two years: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 of an interscholastic athletic activity;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school nurse who serves as a member of a concussion oversight team;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a licensed health care professional who serves as a member of a concussion oversight team and is an employee, representative, or agent of a school district or open-enrollment charter school;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licensed health care professional who serves on a volunteer basis as a member of a concussion oversight team for a school district or open-enrollment charter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purposes of Subsection (c):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 must take a course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athletic trainer must take: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course described by Subsection (b);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course concerning the subject matter of concussions that has been approved for continuing education credit by the appropriate licensing authority for the profession;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school nurse or</w:t>
      </w:r>
      <w:r>
        <w:t xml:space="preserve"> licensed health care professional, other than an athletic trainer, must take: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course described by Subsection (a) or (b);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course concerning the subject matter of concussions that has been approved for continuing education credit by the appropriate licensing authority for the profession.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school nurse or</w:t>
      </w:r>
      <w:r>
        <w:t xml:space="preserve"> licensed health care professional who is not in compliance with the training requirements under this section may not serve on a concussion oversight team in any capacity.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961 was passed by the House on April 16, 2019, by the following vote:</w:t>
      </w:r>
      <w:r xml:space="preserve">
        <w:t> </w:t>
      </w:r>
      <w:r xml:space="preserve">
        <w:t> </w:t>
      </w:r>
      <w:r>
        <w:t xml:space="preserve">Yeas 136,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961 was passed by the Senate on May 20,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