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Howard, 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961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Watson)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membership and training course requirements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school district or open-enrollment charter school employs a school nurse, the school nurse may be a member of the district or charter school concussion oversight team if requested by the school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201, Occupations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a school nurse;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38.158(c), (e), and (g),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must take a training course in accordance with Subsection (e) from an authorized training provider at least once every two years: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of an interscholastic athletic activity;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school nurse who serves as a member of a concussion oversight team;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licensed health care professional who serves as a member of a concussion oversight team and is an employee, representative, or agent of a school district or open-enrollment charter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licensed health care professional who serves on a volunteer basis as a member of a concussion oversight team for a school district or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purposes of Subsection (c):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must take a course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athletic trainer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professional, other than an athletic trainer,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(a) or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 who is not in compliance with the training requirements under this section may not serve on a concussion oversight team in any capacity.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