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86R6371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against the administrator of employment benefits for the employees of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LIABILITY FOR CERTAIN EMPLOYMENT BENEFIT CLAIMS.  (a) In this section, "program administrator" means a person who manages or administers a plan or program of employee benefits, including a self-funded or insured health benefit plan. The term includes an administrator, as that term is defined by Section 4151.001,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program administrator that contracts with a political subdivision to manage or administer a plan or program of employee benefits for the political subdivision's employees is liable for a claim against the administrator, regardless of whether the political subdivision has governmental immunity,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 arises from a duty of the administrator under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administrator would otherwise be liable to the claimant under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administrator may not assert a defense of governmental immunity to suit or liability for a claim against the administrator described by this section. </w:t>
      </w:r>
      <w:r>
        <w:rPr>
          <w:u w:val="single"/>
        </w:rPr>
        <w:t xml:space="preserve"> </w:t>
      </w:r>
      <w:r>
        <w:rPr>
          <w:u w:val="single"/>
        </w:rPr>
        <w:t xml:space="preserve">This section does not waive the governmental immunity to suit or liability of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MUNICIPALITIES, COUNTIES, AND [</w:t>
      </w:r>
      <w:r>
        <w:rPr>
          <w:strike/>
        </w:rPr>
        <w:t xml:space="preserve">CERTAIN</w:t>
      </w:r>
      <w:r>
        <w:t xml:space="preserve">] OTHER LOCAL GOVERNMENTS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180.008, Local Government Code, as added by this Act, applies only to an action that commences on or after the effective date of this Act.  An action that commences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