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86R24405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969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regulate the removal by a landowner of noxious or invasive plant species or brush species detrimental to water conservation from the landowner's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71.153(a),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political subdivision may not adopt an ordinance or rule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restricts the planting, sale, or distribution of noxious or invasive plant species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prohibits or limits the removal by a landowner of a noxious or invasive plant species located on the landowner's property if the property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homestead;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designated for agricultural use under Chapter 23, Tax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single family residential property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203, Agriculture Code, is amended by adding Section 203.0555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203.0555.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NOXIOUS BRUSH.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"noxious brush" means brush designated by the board as an eligible brush species detrimental to water conservation for purposes of implementing the state water supply enhancement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or county may not adopt or enforce an ordinance, order, rule, or other regulation that prohibits or limits the removal by a landowner of any noxious brush located on the landowner's property if the property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homestead;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designated for agricultural use under Chapter 23, Tax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single family residential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969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