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Smith</w:t>
      </w:r>
      <w:r xml:space="preserve">
        <w:tab wTab="150" tlc="none" cTlc="0"/>
      </w:r>
      <w:r>
        <w:t xml:space="preserve">H.B.</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certain defendants for inclusion in the DNA database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w:t>
      </w:r>
      <w:r>
        <w:rPr>
          <w:strike/>
        </w:rPr>
        <w:t xml:space="preserve">20.02, 22.01, or</w:t>
      </w:r>
      <w:r>
        <w:t xml:space="preserve">]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