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certain defendants for inclusion in the DNA database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20.04(a)(4);</w:t>
      </w:r>
    </w:p>
    <w:p w:rsidR="003F3435" w:rsidRDefault="0032493E">
      <w:pPr>
        <w:spacing w:line="480" w:lineRule="auto"/>
        <w:ind w:firstLine="2160"/>
        <w:jc w:val="both"/>
      </w:pPr>
      <w:r>
        <w:t xml:space="preserve">(B)</w:t>
      </w:r>
      <w:r xml:space="preserve">
        <w:t> </w:t>
      </w:r>
      <w:r xml:space="preserve">
        <w:t> </w:t>
      </w:r>
      <w:r>
        <w:t xml:space="preserve">Section 21.11;</w:t>
      </w:r>
    </w:p>
    <w:p w:rsidR="003F3435" w:rsidRDefault="0032493E">
      <w:pPr>
        <w:spacing w:line="480" w:lineRule="auto"/>
        <w:ind w:firstLine="2160"/>
        <w:jc w:val="both"/>
      </w:pPr>
      <w:r>
        <w:t xml:space="preserve">(C)</w:t>
      </w:r>
      <w:r xml:space="preserve">
        <w:t> </w:t>
      </w:r>
      <w:r xml:space="preserve">
        <w:t> </w:t>
      </w:r>
      <w:r>
        <w:t xml:space="preserve">Section 22.011;</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2160"/>
        <w:jc w:val="both"/>
      </w:pPr>
      <w:r>
        <w:t xml:space="preserve">(E)</w:t>
      </w:r>
      <w:r xml:space="preserve">
        <w:t> </w:t>
      </w:r>
      <w:r xml:space="preserve">
        <w:t> </w:t>
      </w:r>
      <w:r>
        <w:t xml:space="preserve">Section 25.02;</w:t>
      </w:r>
    </w:p>
    <w:p w:rsidR="003F3435" w:rsidRDefault="0032493E">
      <w:pPr>
        <w:spacing w:line="480" w:lineRule="auto"/>
        <w:ind w:firstLine="2160"/>
        <w:jc w:val="both"/>
      </w:pPr>
      <w:r>
        <w:t xml:space="preserve">(F)</w:t>
      </w:r>
      <w:r xml:space="preserve">
        <w:t> </w:t>
      </w:r>
      <w:r xml:space="preserve">
        <w:t> </w:t>
      </w:r>
      <w:r>
        <w:t xml:space="preserve">Section 30.02(d);</w:t>
      </w:r>
    </w:p>
    <w:p w:rsidR="003F3435" w:rsidRDefault="0032493E">
      <w:pPr>
        <w:spacing w:line="480" w:lineRule="auto"/>
        <w:ind w:firstLine="2160"/>
        <w:jc w:val="both"/>
      </w:pPr>
      <w:r>
        <w:t xml:space="preserve">(G)</w:t>
      </w:r>
      <w:r xml:space="preserve">
        <w:t> </w:t>
      </w:r>
      <w:r xml:space="preserve">
        <w:t> </w:t>
      </w:r>
      <w:r>
        <w:t xml:space="preserve">Section 43.05;</w:t>
      </w:r>
    </w:p>
    <w:p w:rsidR="003F3435" w:rsidRDefault="0032493E">
      <w:pPr>
        <w:spacing w:line="480" w:lineRule="auto"/>
        <w:ind w:firstLine="2160"/>
        <w:jc w:val="both"/>
      </w:pPr>
      <w:r>
        <w:t xml:space="preserve">(H)</w:t>
      </w:r>
      <w:r xml:space="preserve">
        <w:t> </w:t>
      </w:r>
      <w:r xml:space="preserve">
        <w:t> </w:t>
      </w:r>
      <w:r>
        <w:t xml:space="preserve">Section 43.25;</w:t>
      </w:r>
    </w:p>
    <w:p w:rsidR="003F3435" w:rsidRDefault="0032493E">
      <w:pPr>
        <w:spacing w:line="480" w:lineRule="auto"/>
        <w:ind w:firstLine="2160"/>
        <w:jc w:val="both"/>
      </w:pPr>
      <w:r>
        <w:t xml:space="preserve">(I)</w:t>
      </w:r>
      <w:r xml:space="preserve">
        <w:t> </w:t>
      </w:r>
      <w:r xml:space="preserve">
        <w:t> </w:t>
      </w:r>
      <w:r>
        <w:t xml:space="preserve">Section 43.26;</w:t>
      </w:r>
    </w:p>
    <w:p w:rsidR="003F3435" w:rsidRDefault="0032493E">
      <w:pPr>
        <w:spacing w:line="480" w:lineRule="auto"/>
        <w:ind w:firstLine="2160"/>
        <w:jc w:val="both"/>
      </w:pPr>
      <w:r>
        <w:t xml:space="preserve">(J)</w:t>
      </w:r>
      <w:r xml:space="preserve">
        <w:t> </w:t>
      </w:r>
      <w:r xml:space="preserve">
        <w:t> </w:t>
      </w:r>
      <w:r>
        <w:t xml:space="preserve">Section 21.02; or</w:t>
      </w:r>
    </w:p>
    <w:p w:rsidR="003F3435" w:rsidRDefault="0032493E">
      <w:pPr>
        <w:spacing w:line="480" w:lineRule="auto"/>
        <w:ind w:firstLine="2160"/>
        <w:jc w:val="both"/>
      </w:pPr>
      <w:r>
        <w:t xml:space="preserve">(K)</w:t>
      </w:r>
      <w:r xml:space="preserve">
        <w:t> </w:t>
      </w:r>
      <w:r xml:space="preserve">
        <w:t> </w:t>
      </w:r>
      <w:r>
        <w:t xml:space="preserve">Section 20A.03;</w:t>
      </w:r>
    </w:p>
    <w:p w:rsidR="003F3435" w:rsidRDefault="0032493E">
      <w:pPr>
        <w:spacing w:line="480" w:lineRule="auto"/>
        <w:ind w:firstLine="1440"/>
        <w:jc w:val="both"/>
      </w:pPr>
      <w:r>
        <w:t xml:space="preserve">(2)</w:t>
      </w:r>
      <w:r xml:space="preserve">
        <w:t> </w:t>
      </w:r>
      <w:r xml:space="preserve">
        <w:t> </w:t>
      </w:r>
      <w: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(3)</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w:t>
      </w:r>
      <w:r>
        <w:rPr>
          <w:strike/>
        </w:rPr>
        <w:t xml:space="preserve">20.02, 22.01, or</w:t>
      </w:r>
      <w:r>
        <w:t xml:space="preserve">]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979 was passed by the House on April 17, 2019, by the following vote:</w:t>
      </w:r>
      <w:r xml:space="preserve">
        <w:t> </w:t>
      </w:r>
      <w:r xml:space="preserve">
        <w:t> </w:t>
      </w:r>
      <w:r>
        <w:t xml:space="preserve">Yeas 123,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979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