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86R5329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Smith</w:t>
      </w:r>
      <w:r xml:space="preserve">
        <w:tab wTab="150" tlc="none" cTlc="0"/>
      </w:r>
      <w:r>
        <w:t xml:space="preserve">H.B.</w:t>
      </w:r>
      <w:r xml:space="preserve">
        <w:t> </w:t>
      </w:r>
      <w:r>
        <w:t xml:space="preserve">No.</w:t>
      </w:r>
      <w:r xml:space="preserve">
        <w:t> </w:t>
      </w:r>
      <w:r>
        <w:t xml:space="preserve">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DNA records for certain defendants for inclusion in the DNA database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w:t>
      </w:r>
      <w:r>
        <w:rPr>
          <w:strike/>
        </w:rPr>
        <w:t xml:space="preserve">, except for an offense punishable as a Class A misdemeanor under Section 20.02, 22.01, or 22.05, Penal Code</w:t>
      </w:r>
      <w:r>
        <w:t xml:space="preserv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