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982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"pay for success" contracts for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403.110(c), (e),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trust fund consists of money </w:t>
      </w:r>
      <w:r>
        <w:rPr>
          <w:u w:val="single"/>
        </w:rPr>
        <w:t xml:space="preserve">gifted, granted, donated, or</w:t>
      </w:r>
      <w:r>
        <w:t xml:space="preserve"> appropriated for deposit to the credit of the trust fund and any interest or other earnings attributable to the trust fund. The comptroller shall hold money credited to the trust fund for use only for payments due in accordance with success contract terms and expenses incurred in administering the trust fund or in administering the success contracts for which the trust fund is established. The balance of the trust fund may not exceed $50 million at any time. The comptroller may establish in the trust fund one or more accounts to administer money for a particular success contract for which money has been credited to the trust fund.</w:t>
      </w:r>
    </w:p>
    <w:p w:rsidR="003F3435" w:rsidRDefault="0032493E">
      <w:pPr>
        <w:spacing w:line="480" w:lineRule="auto"/>
        <w:ind w:firstLine="720"/>
        <w:jc w:val="both"/>
      </w:pPr>
      <w:r>
        <w:t xml:space="preserve">(e)</w:t>
      </w:r>
      <w:r xml:space="preserve">
        <w:t> </w:t>
      </w:r>
      <w:r xml:space="preserve">
        <w:t> </w:t>
      </w:r>
      <w:r>
        <w:rPr>
          <w:u w:val="single"/>
        </w:rPr>
        <w:t xml:space="preserve">A contract executed under this section is not enforceable until</w:t>
      </w:r>
      <w:r>
        <w:t xml:space="preserve"> [</w:t>
      </w:r>
      <w:r>
        <w:rPr>
          <w:strike/>
        </w:rPr>
        <w:t xml:space="preserve">The comptroller and a state agency may not finally execute a proposed success contract under this section unless</w:t>
      </w:r>
      <w:r>
        <w:t xml:space="preserve">]:</w:t>
      </w:r>
    </w:p>
    <w:p w:rsidR="003F3435" w:rsidRDefault="0032493E">
      <w:pPr>
        <w:spacing w:line="480" w:lineRule="auto"/>
        <w:ind w:firstLine="1440"/>
        <w:jc w:val="both"/>
      </w:pPr>
      <w:r>
        <w:t xml:space="preserve">(1)</w:t>
      </w:r>
      <w:r xml:space="preserve">
        <w:t> </w:t>
      </w:r>
      <w:r xml:space="preserve">
        <w:t> </w:t>
      </w:r>
      <w:r>
        <w:t xml:space="preserve">the state agency and the Legislative Budget Board certify that the proposed contract is expected to result in significant performance improvements and significant budgetary savings for the state agency or agencies party to the contract if the performance targets are achieved; and</w:t>
      </w:r>
    </w:p>
    <w:p w:rsidR="003F3435" w:rsidRDefault="0032493E">
      <w:pPr>
        <w:spacing w:line="480" w:lineRule="auto"/>
        <w:ind w:firstLine="1440"/>
        <w:jc w:val="both"/>
      </w:pPr>
      <w:r>
        <w:t xml:space="preserve">(2)</w:t>
      </w:r>
      <w:r xml:space="preserve">
        <w:t> </w:t>
      </w:r>
      <w:r xml:space="preserve">
        <w:t> </w:t>
      </w:r>
      <w:r>
        <w:rPr>
          <w:u w:val="single"/>
        </w:rPr>
        <w:t xml:space="preserve">a grantor or donor has gifted, granted, or donated, or</w:t>
      </w:r>
      <w:r>
        <w:t xml:space="preserve">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3F3435" w:rsidRDefault="0032493E">
      <w:pPr>
        <w:spacing w:line="480" w:lineRule="auto"/>
        <w:ind w:firstLine="720"/>
        <w:jc w:val="both"/>
      </w:pPr>
      <w:r>
        <w:t xml:space="preserve">(f)</w:t>
      </w:r>
      <w:r xml:space="preserve">
        <w:t> </w:t>
      </w:r>
      <w:r xml:space="preserve">
        <w:t> </w:t>
      </w:r>
      <w:r>
        <w:t xml:space="preserve">The comptroller shall make the contract payments for the success contracts only from the trust fund and only in accordance with the terms of the success contracts. The comptroller shall deposit to the credit of the trust fund any money the comptroller recovers from a contractor for overpayment or for a penalty or other amount recoverable under the terms of a success contract and shall hold the money in the trust fund in the same manner as the money held for payments for the success contract. To the extent that any money credited to the trust fund for a particular success contract remains unpaid at the time the particular contract expires or is terminated, as soon after the contract expiration as is practicable, the comptroller shall return the unpaid amount to the </w:t>
      </w:r>
      <w:r>
        <w:rPr>
          <w:u w:val="single"/>
        </w:rPr>
        <w:t xml:space="preserve">grantor, donor, or</w:t>
      </w:r>
      <w:r>
        <w:t xml:space="preserve"> state treasury fund or account from which the money was </w:t>
      </w:r>
      <w:r>
        <w:rPr>
          <w:u w:val="single"/>
        </w:rPr>
        <w:t xml:space="preserve">gifted, granted, donated, or</w:t>
      </w:r>
      <w:r>
        <w:t xml:space="preserve"> appropriated.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