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King of Hemphill, Springer,</w:t>
      </w:r>
      <w:r xml:space="preserve">
        <w:tab wTab="150" tlc="none" cTlc="0"/>
      </w:r>
      <w:r>
        <w:t xml:space="preserve">H.B.</w:t>
      </w:r>
      <w:r xml:space="preserve">
        <w:t> </w:t>
      </w:r>
      <w:r>
        <w:t xml:space="preserve">No.</w:t>
      </w:r>
      <w:r xml:space="preserve">
        <w:t> </w:t>
      </w:r>
      <w:r>
        <w:t xml:space="preserve">986</w:t>
      </w:r>
    </w:p>
    <w:p w:rsidR="003F3435" w:rsidRDefault="0032493E">
      <w:pPr>
        <w:jc w:val="both"/>
      </w:pPr>
      <w:r xml:space="preserve">
        <w:t> </w:t>
      </w:r>
      <w:r xml:space="preserve">
        <w:t> </w:t>
      </w:r>
      <w:r xml:space="preserve">
        <w:t> </w:t>
      </w:r>
      <w:r xml:space="preserve">
        <w:t> </w:t>
      </w:r>
      <w:r xml:space="preserve">
        <w:t> </w:t>
      </w:r>
      <w:r>
        <w:t xml:space="preserve">Frullo, Burrows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by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39.402, Utilities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