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provisions of Section 21.0471;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of the compensation being offered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value of the property the entity seeks to acquire;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damage and loss of value to the remaining property,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notice that the property owner will also receive a final offer accompanied by an appraisal;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in the initial offer and in any subsequent offer, a certification by the entity that the offer is in an amount that will not require the entity to make a payment for a low initial offer under Section 21.0471.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a private entity subject to Subchapter B-1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 a copy of the notice of public meeting required by Section 21.036;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participates in the public meeting in the manner prescribed by Section 21.038.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Sections 21.0114 and 21.0115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w:t>
      </w:r>
      <w:r>
        <w:rPr>
          <w:u w:val="single"/>
        </w:rPr>
        <w:t xml:space="preserve"> </w:t>
      </w:r>
      <w:r>
        <w:rPr>
          <w:u w:val="single"/>
        </w:rPr>
        <w:t xml:space="preserve">(a)  Except as provided by Subsection (b), the deed, easement, or other instrument provided to a property owner by a private entity, as defined by Section 21.031,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each substance to be transported through the pipelines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metes and bounds or centerline description of the location of the easement, plat, or other legally sufficient description of the location of the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the pipeline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whether the double-ditch method will be used for installation of the pipeline in areas that are not bore-drilled;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prohibition against the transfer of the property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express written consent of the property owner if the transferee, including a transferee that is an affiliate or subsidiary of or entity related to the private entity, does not have eminent domain authority;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whether the entity has exclusive, nonexclusive, or otherwise limited rights to the easement;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access to the easement area by a third party for a purpose that is not related to the pipeline's construction, safety, maintenance, or operation activities;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right to recover actual monetary damages arising from construction, maintenance, repair, replacement, or future removal of the pipeline in the easement, including any actual monetary damages to growing crops or livestock, or a statement that the offer includes such future damages;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to negotiate to recover damages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tree loss;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income loss from interference with hunting or recreational activities;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income  loss from disruption of agricultural production;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 regarding the use and repair of any gates and fences;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 regarding the entity's obligation to maintain the easement, including leveling of the easement area;</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regarding the repair and restoration of areas used or damaged outside the easement area to their original condition or better, to the extent reasonably practicable, or the payment of actual monetary damages for areas not restored;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electrical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depiction identifying the approximate location of the easement on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metes and bounds or centerline description of the location of the easement, plat, or other legally sufficient description of the location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limiting access to the easement area by a third party for a purpose that is not related to the transmission line's construction, safety, maintenance, or operation activities;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 regarding the right to recover actual monetary damages arising from construction, maintenance, repair, replacement, or future removal of lines and support facilities in the easement or a statement that the offer includes such future damages;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property owner's right to negotiate to recover damages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tree loss;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income loss from interference with hunting or recreational activities;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income loss from disruption of agricultural production;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regarding the use and repair of any gates and fences;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regarding the entity's obligation to maintain the easement;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regarding the repair and restoration of areas used or damaged outside the easement area to their original condition or better, to the extent reasonably practicable, or the payment of actual monetary damages for areas not restored;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whether the entity has exclusive, nonexclusive, or otherwise limited rights to the right-of-way;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prohibition against the transfer of the property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express written consent of the property owner if the transferee, including a transferee that is an affiliate or subsidiary of or entity related to the private entity, does not have eminent domain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prohibition against any use of the property being conveyed, other than a use stated in the deed, easement, or other instrument, without the express written consent of the property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covenant that the entity will keep in effect at all times while the entity uses the condemned property, including during construction and operations on the easement, a policy or policies of liability insurance: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insurer authorized to issue such policies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insuring the property owner against liability for personal injuries and property damage sustained by any person that arises from or is related to the use of the easement property by the entity or the entity's agents or contractors;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terms of the deed, easement, or other instrument will bind the successors and assigns of the parties to the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as defined by Section 21.031, may present and include terms in addition to the terms required under Subsection (a). </w:t>
      </w:r>
      <w:r>
        <w:rPr>
          <w:u w:val="single"/>
        </w:rPr>
        <w:t xml:space="preserve"> </w:t>
      </w:r>
      <w:r>
        <w:rPr>
          <w:u w:val="single"/>
        </w:rPr>
        <w:t xml:space="preserve">The property owner and the entity may consider and agree to the additional terms, including rights and uses that may not be the subject of a later condemnation proceeding, if so stated in the instrument.  A property owner may negotiate a deed, easement, or other instrument that does not include all of the terms required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prepare and make generally available a standard form that contains the terms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bring an action in the name of the state to enjoin a violation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attorney's fees and costs incurred in bringing an action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21.0115.</w:t>
      </w:r>
      <w:r>
        <w:rPr>
          <w:u w:val="single"/>
        </w:rPr>
        <w:t xml:space="preserve"> </w:t>
      </w:r>
      <w:r>
        <w:rPr>
          <w:u w:val="single"/>
        </w:rPr>
        <w:t xml:space="preserve"> </w:t>
      </w:r>
      <w:r>
        <w:rPr>
          <w:u w:val="single"/>
        </w:rPr>
        <w:t xml:space="preserve">COMMUNICATION BY CERTAIN PRIVATE ENTITIES.  (a)  A private entity, as defined by Section 21.031, that wants to acquire real property for a public use may not, without first attempting to include the owner of the real property, engage in ex parte communication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that has jurisdiction of a condemnation proceeding involving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special commissioner appointed in the condemnation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shall provide written notice to a property owner of any communication between the entity and a court or special commissioner described by Subsection (a) for which the property owner is not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"private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entity's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third-party contractor of the entity, including a right-of-way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21.031 must state the terms to be included in the instrument of conveyance under Section 21.0114 using the form prepared by the attorney general under Section 21.0114(c).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corporation, including a corporation organized under Chapter 67, Water Code, authorized to exercise the power of eminent domain to acquire private property for public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affiliate or subsidiary of or entity related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This subchapter applies only to a private entity that wants to acquire for the same public use one or more tracts or parcels of real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entirely in one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by at least four property owners.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INTENT.  (a)  Not later than the 45th day before the date a private entity makes an initial offer to acquire real property under this chapter, the entity must send a written notice of intent to a court that would have jurisdiction of a condemnation proceeding involving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private entity's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public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real property the entity intends to acquire and the owners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the date by which the entity will make the initial offer.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PUBLIC MEETING.  (a)  Not later than the 30th day after the date a court receives a notice of intent required by  Section 21.033, the court shall select the date on which a public meeting regarding the proposed acquisition will be held.  The court shall facilitate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take place in a public location appropriate to the size and nature of the meeting in the county in which the real property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take place earlier than the 14th day after the date a private entity makes an initial offer to a property owner identified in the notice of intent under Section 21.033.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NOTICE OF PUBLIC MEETING.  (a)  As soon as is practicable after a court selects a date for a public meeting under Section 21.034,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notice of the meeting to the private entity that sent the notice of intent under Section 21.033;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public meeting on the county's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notice of the public meeting in a newspaper of general circulation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of public meeting under this section must include the date, time, and location of the meeting.</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NOTICE OF PUBLIC MEETING IN INITIAL OFFER.  A private entity that gives a notice of intent under Section 21.033 must include with the entity's initial offer notice of the public meeting to be held under Section 21.034, including the date, time, and location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PARTICIPATION BY PRIVATE ENTITY REQUIRED.  A representative of the private entity that gives a notice of intent under Section 21.033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the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public meeting in the manner prescribed by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PUBLIC MEETING AGENDA.  At a public meeting scheduled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shall present the information contained in the landowner's bill of rights statement required to be provided to a property owner under Section 21.0112;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private entity shall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public use for which the entity wants to acquire the real property, including technical details;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statement of the terms required under Section 21.0114 to be included in a deed, easement, or other instrument provided by the entity to the property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method and factors used by the entity to calculate the entity's initial offer,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how damages to remaining property were evaluated;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entity used a property appraisal or market value study, the name of the person that performed the appraisal or study;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entity's justification for the proposed public use, including any materials used by the entity to obtain a determination that the project is a public 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legal and factual basis for the entity's exercise of its eminent domain authority;</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name and contact information of any third-party contractor to be used by the entity to acquire the land or undertake the project;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description of any regulatory process required for approval of the project, including any evaluation of the project's necessity, and information about how a property owner may participate in the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owners identified by the private entity under Section 21.033, the public, and public officials must be given an opportunity to ask questions and make comments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terms required under Section 21.0114 to be included in a deed, easement, or other instrument provided by the entity to a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CONTACT AFTER PUBLIC MEETING.  A private entity may not contact a property owner to whom the entity has made an initial offer before the seventh day after the date of the public meeting held under Section 21.034.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21.0391.</w:t>
      </w:r>
      <w:r>
        <w:rPr>
          <w:u w:val="single"/>
        </w:rPr>
        <w:t xml:space="preserve"> </w:t>
      </w:r>
      <w:r>
        <w:rPr>
          <w:u w:val="single"/>
        </w:rPr>
        <w:t xml:space="preserve"> </w:t>
      </w:r>
      <w:r>
        <w:rPr>
          <w:u w:val="single"/>
        </w:rPr>
        <w:t xml:space="preserve">CERTIFICATION OF ENTITY PARTICIPATION IN PUBLIC MEETING REQUIRED.  (a)  After a private entity participates in a meeting held under Section 21.034, the entity shall submit evidence documenting its participation to the court that facilitated the meeting.  The court shall review the evidence submitted by the entity and, if the court determines that the entity has satisfied the requirements of this subchapter, shall certify that the entity has satisfied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may not acquire property to which this subchapter applies unless the entity receives the certification under Subsection (a) with respect to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21.0392.</w:t>
      </w:r>
      <w:r>
        <w:rPr>
          <w:u w:val="single"/>
        </w:rPr>
        <w:t xml:space="preserve"> </w:t>
      </w:r>
      <w:r>
        <w:rPr>
          <w:u w:val="single"/>
        </w:rPr>
        <w:t xml:space="preserve"> </w:t>
      </w:r>
      <w:r>
        <w:rPr>
          <w:u w:val="single"/>
        </w:rPr>
        <w:t xml:space="preserve">PUBLICATION AND PROVISION OF CERTAIN MATERIALS.  A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on an Internet website any materials presented under Section 21.038(2)(D);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property owners identified by the entity under Section 21.033 any materials presented under Section 21.038(2)(D).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21.0393.</w:t>
      </w:r>
      <w:r>
        <w:rPr>
          <w:u w:val="single"/>
        </w:rPr>
        <w:t xml:space="preserve"> </w:t>
      </w:r>
      <w:r>
        <w:rPr>
          <w:u w:val="single"/>
        </w:rPr>
        <w:t xml:space="preserve"> </w:t>
      </w:r>
      <w:r>
        <w:rPr>
          <w:u w:val="single"/>
        </w:rPr>
        <w:t xml:space="preserve">PROPERTY OWNER CHALLENGE OF EMINENT DOMAIN AUTHORITY.  (a)  A property owner identified by a private entity under Section 21.033 may challenge the eminent domain authority of the entity in the court that provided the certification under Section 21.0391.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challenge under Subsection (a) must be filed not later than the 30th day after the date of the public meeting held under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21.0394.</w:t>
      </w:r>
      <w:r>
        <w:rPr>
          <w:u w:val="single"/>
        </w:rPr>
        <w:t xml:space="preserve"> </w:t>
      </w:r>
      <w:r>
        <w:rPr>
          <w:u w:val="single"/>
        </w:rPr>
        <w:t xml:space="preserve"> </w:t>
      </w:r>
      <w:r>
        <w:rPr>
          <w:u w:val="single"/>
        </w:rPr>
        <w:t xml:space="preserve">INJUNCTION.  (a)  The attorney general may bring an action in the name of the state to enjoin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21.042, Property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In estimating injury or benefit under Subsection (c), the special commissioners shall consider an injury or benefit that is peculiar to the property owner and that relates to the property owner's ownership, use, or enjoyment of the particular parcel of real property,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injury or benefit to the remaining property as a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characteristics of any infrastructure on the condemned property, including the size or visibility of the infrastructure or the pressure or voltage range provided by the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limitation of future expansion on the remaining property;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provision in an easement acquired in connection with, or the alignment of an easement in connection with, the condemnation; and</w:t>
      </w:r>
    </w:p>
    <w:p w:rsidR="003F3435" w:rsidRDefault="0032493E">
      <w:pPr>
        <w:spacing w:line="480" w:lineRule="auto"/>
        <w:ind w:firstLine="1440"/>
        <w:jc w:val="both"/>
      </w:pPr>
      <w:r>
        <w:rPr>
          <w:u w:val="single"/>
        </w:rPr>
        <w:t xml:space="preserve">(2)</w:t>
      </w:r>
      <w:r xml:space="preserve">
        <w:t> </w:t>
      </w:r>
      <w:r xml:space="preserve">
        <w:t> </w:t>
      </w:r>
      <w:r>
        <w:t xml:space="preserve">a material impairment of direct access on or off the remaining property that affects the market value of the remaining property</w:t>
      </w:r>
      <w:r>
        <w:rPr>
          <w:u w:val="single"/>
        </w:rP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estimating injury or benefit under Subsection (c), the special commissioners</w:t>
      </w:r>
      <w:r>
        <w:t xml:space="preserve">[</w:t>
      </w:r>
      <w:r>
        <w:rPr>
          <w:strike/>
        </w:rPr>
        <w:t xml:space="preserve">, but they</w:t>
      </w:r>
      <w:r>
        <w:t xml:space="preserve">] may not consider an injury or benefit that the property owner experiences in common with the general community, including circuity of travel and diversion of traffic.</w:t>
      </w:r>
    </w:p>
    <w:p w:rsidR="003F3435" w:rsidRDefault="0032493E">
      <w:pPr>
        <w:spacing w:line="480" w:lineRule="auto"/>
        <w:ind w:firstLine="720"/>
        <w:jc w:val="both"/>
      </w:pPr>
      <w:r>
        <w:rPr>
          <w:u w:val="single"/>
        </w:rPr>
        <w:t xml:space="preserve">(d-2)</w:t>
      </w:r>
      <w:r xml:space="preserve">
        <w:t> </w:t>
      </w:r>
      <w:r xml:space="preserve">
        <w:t> </w:t>
      </w:r>
      <w:r>
        <w:t xml:space="preserve">In </w:t>
      </w:r>
      <w:r>
        <w:rPr>
          <w:u w:val="single"/>
        </w:rPr>
        <w:t xml:space="preserve">Subsection (d)(2)</w:t>
      </w:r>
      <w:r>
        <w:t xml:space="preserve"> [</w:t>
      </w:r>
      <w:r>
        <w:rPr>
          <w:strike/>
        </w:rPr>
        <w:t xml:space="preserve">this subsection</w:t>
      </w:r>
      <w:r>
        <w:t xml:space="preserve">], "direct access" means ingress and egress on or off a public road, street, or highway at a location where the remaining property adjoins that road, street, or highway.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21, Property Code, is amended by adding Section 21.0471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21.0471.</w:t>
      </w:r>
      <w:r>
        <w:rPr>
          <w:u w:val="single"/>
        </w:rPr>
        <w:t xml:space="preserve"> </w:t>
      </w:r>
      <w:r>
        <w:rPr>
          <w:u w:val="single"/>
        </w:rPr>
        <w:t xml:space="preserve"> </w:t>
      </w:r>
      <w:r>
        <w:rPr>
          <w:u w:val="single"/>
        </w:rPr>
        <w:t xml:space="preserve">PAYMENT FOR LOW INITIAL OFFER BY PRIVATE ENTITY.  (a)  This section applies only to a condemnor that is a private entity as defined by Section 21.031.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special commissioners award to the property owner damages in an amount that exceeds the amount of the condemnor's initial offer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25 percent but less than 50 percent, the condemnor shall pay to the property owner the damages awarded and an additional amount equal to 25 percent of the damages awarded;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50 percent but less than 100 percent, the condemnor shall pay to the property owner the damages awarded and an additional amount equal to 30 percent of the damages awarded;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or more, the condemnor shall pay to the property owner the damages awarded and an additional amount equal to 35 percent of the damages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is entitled to an additional amount under Subsection (b) without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condemnor objects to the findings of the special commissioners or appeals the decision of a trial court in the condemnation proceeding;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damages ultimately awarded to the property owner by a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the acquisition of real property in connection with an initial offer made under Chapter 21, Property Code, on or after the effective date of this Act. </w:t>
      </w:r>
      <w:r>
        <w:t xml:space="preserve"> </w:t>
      </w:r>
      <w:r>
        <w:t xml:space="preserve">An acquisition of real property in connection with an initial offer made under Chapter 21,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