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86R906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993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to a prospective residential tenant regarding a dwelling that is located in a floodplain or that has been damaged by flooding.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92, Property Code, is amended by adding Section 92.0132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92.0132.</w:t>
      </w:r>
      <w:r>
        <w:rPr>
          <w:u w:val="single"/>
        </w:rPr>
        <w:t xml:space="preserve"> </w:t>
      </w:r>
      <w:r>
        <w:rPr>
          <w:u w:val="single"/>
        </w:rPr>
        <w:t xml:space="preserve"> </w:t>
      </w:r>
      <w:r>
        <w:rPr>
          <w:u w:val="single"/>
        </w:rPr>
        <w:t xml:space="preserve">NOTICE REGARDING FLOODPLAIN OR FLOOD DAMAGE.</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"floodplain" means any area of land that is located in a 100-year floodplain or a 500-year floodplain as determined by the most recent flood hazard map published by the Federal Emergency Management Agency under the National Flood Insurance Act of 1968 (42 U.S.C. Section 4001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dwelling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located in a floodplain;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damaged by flooding due to rainfall or storm surge during the 20 years preceding the date of the lease.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entering into a lease with a prospective tenant, a landlord or landlord's agent must inform the prospective tenant in a written notice, signed by both the landlord or landlord's agent and the prospective tenant, that the dwelling that is the subject of the lease: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located in a floodplain;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previously damaged by flooding due to rainfall or storm surge.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landlord or a landlord's agent violates this section and a tenant suffers loss of or damage to the tenant's personal property as a result of a flood, the tenant: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terminate the lease or maintain possession of the premises under the terms of the lease;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entitled to recover from the landlord the following amounts, less any delinquent rent or other sum for which the tenant is liable to the landlord: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tenant's actual damages;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greater of one month's rent or $1,000;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and court costs incurred in recovering the amounts in Paragraphs (A) and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to liability under this section that, at the time the parties entered into the lease, the landlord or landlord's agent did not know that the dwelling that is the subject of the lease was located in a floodplain or had been previously damaged by flooding.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lease entered into on or after the effective date of this Act.  A lease entered into before that date is governed by the law applicable to the lease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