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protests and appeals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41.45(b), Tax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w:t>
      </w:r>
      <w:r>
        <w:t xml:space="preserve"> </w:t>
      </w:r>
      <w:r>
        <w:t xml:space="preserve">A property owner may offer evidence or argument by affidavit without personally appearing and may appear by telephone conference call to offer argument. </w:t>
      </w:r>
      <w:r>
        <w:t xml:space="preserve"> </w:t>
      </w:r>
      <w:r>
        <w:t xml:space="preserve">A property owner who appears by telephone conference call must offer any evidence by affidavit. </w:t>
      </w:r>
      <w:r>
        <w:t xml:space="preserve"> </w:t>
      </w:r>
      <w:r>
        <w:t xml:space="preserve">A property owner must submit an affidavit described by this subsection to the board hearing the protest before the board begins the hearing on the protest. </w:t>
      </w:r>
      <w:r>
        <w:t xml:space="preserve"> </w:t>
      </w:r>
      <w:r>
        <w:t xml:space="preserve">On receipt of an affidavit, the board shall notify the chief appraiser.  The chief appraiser [</w:t>
      </w:r>
      <w:r>
        <w:rPr>
          <w:strike/>
        </w:rPr>
        <w:t xml:space="preserve">may inspect the affidavit and</w:t>
      </w:r>
      <w:r>
        <w:t xml:space="preserve">] is entitled to a copy </w:t>
      </w:r>
      <w:r>
        <w:rPr>
          <w:u w:val="single"/>
        </w:rPr>
        <w:t xml:space="preserve">of the affidavit</w:t>
      </w:r>
      <w:r>
        <w:t xml:space="preserve"> on request.  </w:t>
      </w:r>
      <w:r>
        <w:rPr>
          <w:u w:val="single"/>
        </w:rPr>
        <w:t xml:space="preserve">The board and the chief appraiser shall review the evidence or argument provided by the property owner before the hearing on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a population of less than 45,500;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shares a border with a county that has a population of 1.5 million or more and is within 200 miles of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which the Atascosa River flows.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determination of appraised value or eligibility for an exemption from taxation;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due on the portion of the taxable value of the property that is in dispute, calculated using the preceding year's tax rates, is $5,000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42.25, and 42.26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